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EA16" w14:textId="77777777" w:rsidR="001E7D2B" w:rsidRDefault="00DC31F7">
      <w:pPr>
        <w:spacing w:before="240" w:after="240"/>
        <w:jc w:val="center"/>
        <w:rPr>
          <w:rFonts w:ascii="Times New Roman" w:eastAsia="Times New Roman" w:hAnsi="Times New Roman" w:cs="Times New Roman"/>
          <w:b/>
          <w:bCs/>
        </w:rPr>
      </w:pPr>
      <w:r>
        <w:rPr>
          <w:rFonts w:ascii="Times New Roman" w:eastAsia="Times New Roman" w:hAnsi="Times New Roman" w:cs="Times New Roman"/>
          <w:b/>
          <w:bCs/>
        </w:rPr>
        <w:t>Everyday Advocacy: Lawyers as Voters, Volunteers, and Voices for Diversity</w:t>
      </w:r>
    </w:p>
    <w:p w14:paraId="5844FA59" w14:textId="77777777" w:rsidR="001E7D2B" w:rsidRDefault="00DC31F7">
      <w:pPr>
        <w:spacing w:before="240" w:after="240"/>
        <w:ind w:firstLine="720"/>
        <w:rPr>
          <w:rFonts w:ascii="Times New Roman" w:eastAsia="Times New Roman" w:hAnsi="Times New Roman" w:cs="Times New Roman"/>
        </w:rPr>
      </w:pPr>
      <w:r>
        <w:rPr>
          <w:rFonts w:ascii="Times New Roman" w:eastAsia="Times New Roman" w:hAnsi="Times New Roman" w:cs="Times New Roman"/>
        </w:rPr>
        <w:t xml:space="preserve">Judge Constance Baker Motley’s rise to the federal bench shattered long-standing racial and gender barriers, but her legacy extends far beyond the </w:t>
      </w:r>
      <w:r>
        <w:rPr>
          <w:rFonts w:ascii="Times New Roman" w:eastAsia="Times New Roman" w:hAnsi="Times New Roman" w:cs="Times New Roman"/>
        </w:rPr>
        <w:t xml:space="preserve">courtroom. As the first Black woman to serve as a federal judge, she demonstrated that legal practitioners are not only interpreters of the law, but also agents of social transformation. Today, as federal practice continues to evolve in an increasingly complex and divided society, Judge Motley’s legacy invites us to consider what it means to be an everyday advocate for diversity, equity, and inclusion (DEI) — not just within federal institutions, but in our communities at large. </w:t>
      </w:r>
    </w:p>
    <w:p w14:paraId="6945168D" w14:textId="77777777" w:rsidR="001E7D2B" w:rsidRDefault="00DC31F7">
      <w:pPr>
        <w:spacing w:before="240" w:after="240"/>
        <w:ind w:firstLine="720"/>
        <w:rPr>
          <w:rFonts w:ascii="Times New Roman" w:eastAsia="Times New Roman" w:hAnsi="Times New Roman" w:cs="Times New Roman"/>
        </w:rPr>
      </w:pPr>
      <w:r>
        <w:rPr>
          <w:rFonts w:ascii="Times New Roman" w:eastAsia="Times New Roman" w:hAnsi="Times New Roman" w:cs="Times New Roman"/>
        </w:rPr>
        <w:t xml:space="preserve">One of the most immediate and underutilized strategies lawyers can use to promote DEI in federal practice is civic engagement. While many attorneys are well-versed in constitutional doctrine or litigation strategy, far fewer recognize the power they hold as voters, constituents, and public advocates. Judicial diversity is often shaped long before the bench — in nomination committees, Senate confirmations, and public discourse. Lawyers can play a role by advocating for inclusive slates of candidates, voting </w:t>
      </w:r>
      <w:r>
        <w:rPr>
          <w:rFonts w:ascii="Times New Roman" w:eastAsia="Times New Roman" w:hAnsi="Times New Roman" w:cs="Times New Roman"/>
        </w:rPr>
        <w:t xml:space="preserve">in judicial elections, and using their credibility to speak publicly in support of nominees from underrepresented backgrounds. </w:t>
      </w:r>
    </w:p>
    <w:p w14:paraId="1A7F007B" w14:textId="77777777" w:rsidR="001E7D2B" w:rsidRDefault="00DC31F7">
      <w:pPr>
        <w:spacing w:before="240" w:after="240"/>
        <w:ind w:firstLine="720"/>
      </w:pPr>
      <w:r>
        <w:rPr>
          <w:rFonts w:ascii="Times New Roman" w:eastAsia="Times New Roman" w:hAnsi="Times New Roman" w:cs="Times New Roman"/>
        </w:rPr>
        <w:t>Beyond the judiciary, lawyers are uniquely positioned as community leaders. Whether speaking at career days, mentoring aspiring law students, volunteering with pipeline programs, or serving on nonprofit boards, attorneys often carry implicit authority. When that authority is used to elevate marginalized voices or challenge exclusionary practices, it sends a powerful message. Not only to those watching, but to the institutions around them. A litigator who supports high school moot court teams in under-resour</w:t>
      </w:r>
      <w:r>
        <w:rPr>
          <w:rFonts w:ascii="Times New Roman" w:eastAsia="Times New Roman" w:hAnsi="Times New Roman" w:cs="Times New Roman"/>
        </w:rPr>
        <w:t>ced areas does more than donate time; they expand the vision of who belongs in legal spaces.</w:t>
      </w:r>
    </w:p>
    <w:p w14:paraId="15423FAF" w14:textId="77777777" w:rsidR="001E7D2B" w:rsidRDefault="00DC31F7">
      <w:pPr>
        <w:spacing w:before="240" w:after="240"/>
        <w:ind w:firstLine="720"/>
      </w:pPr>
      <w:r>
        <w:rPr>
          <w:rFonts w:ascii="Times New Roman" w:eastAsia="Times New Roman" w:hAnsi="Times New Roman" w:cs="Times New Roman"/>
        </w:rPr>
        <w:t xml:space="preserve">The ripple effect is real. When lawyers take on pro bono cases addressing voting access, housing discrimination, or workplace bias, they are not just representing individuals. They are reinforcing the principle that justice must be inclusive to be legitimate. Similarly, when law firm partners advocate for equitable promotion policies, or when government attorneys recommend diverse clerks, they play a crucial role in broadening access within federal practice. </w:t>
      </w:r>
    </w:p>
    <w:p w14:paraId="2991DD9D" w14:textId="77777777" w:rsidR="001E7D2B" w:rsidRDefault="00DC31F7">
      <w:pPr>
        <w:spacing w:before="240" w:after="240"/>
        <w:ind w:firstLine="720"/>
      </w:pPr>
      <w:r>
        <w:rPr>
          <w:rFonts w:ascii="Times New Roman" w:eastAsia="Times New Roman" w:hAnsi="Times New Roman" w:cs="Times New Roman"/>
        </w:rPr>
        <w:t>Everyday lawyers can wield soft power by demystifying the federal hiring process, writing strong recommendation letters, or directly connecting candidates to judges and hiring attorneys. By recommending diverse candidates for clerkships, internships, and leadership roles, and supporting affinity bar groups, they help ensure that opportunities in federal practice are accessible and inclusive for all.</w:t>
      </w:r>
    </w:p>
    <w:p w14:paraId="5BEF9CFC" w14:textId="77777777" w:rsidR="001E7D2B" w:rsidRDefault="00DC31F7">
      <w:pPr>
        <w:spacing w:before="240" w:after="240"/>
        <w:ind w:firstLine="720"/>
      </w:pPr>
      <w:r>
        <w:rPr>
          <w:rFonts w:ascii="Times New Roman" w:eastAsia="Times New Roman" w:hAnsi="Times New Roman" w:cs="Times New Roman"/>
        </w:rPr>
        <w:t xml:space="preserve">Judge Motley did not wait for permission to challenge systemic exclusion. Her legacy urges us to recognize that federal practice is not isolated from the communities it serves. </w:t>
      </w:r>
      <w:r>
        <w:rPr>
          <w:rFonts w:ascii="Times New Roman" w:eastAsia="Times New Roman" w:hAnsi="Times New Roman" w:cs="Times New Roman"/>
        </w:rPr>
        <w:lastRenderedPageBreak/>
        <w:t xml:space="preserve">Lawyers, regardless of title or tenure, have a responsibility to model the change they wish to see. Whether casting a ballot, mentoring a student, or speaking up in professional spaces, the everyday lawyer’s voice can reverberate through institutions. The work of sustaining DEI in federal practice doesn’t just happen in court. It starts with who we lift up, speak for, and stand beside. </w:t>
      </w:r>
    </w:p>
    <w:sectPr w:rsidR="001E7D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848D" w14:textId="77777777" w:rsidR="00DC31F7" w:rsidRDefault="00DC31F7">
      <w:pPr>
        <w:spacing w:after="0" w:line="240" w:lineRule="auto"/>
      </w:pPr>
      <w:r>
        <w:separator/>
      </w:r>
    </w:p>
  </w:endnote>
  <w:endnote w:type="continuationSeparator" w:id="0">
    <w:p w14:paraId="478F3513" w14:textId="77777777" w:rsidR="00DC31F7" w:rsidRDefault="00DC3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49B3" w14:textId="77777777" w:rsidR="00BD6A36" w:rsidRDefault="00BD6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CellMar>
        <w:left w:w="10" w:type="dxa"/>
        <w:right w:w="10" w:type="dxa"/>
      </w:tblCellMar>
      <w:tblLook w:val="0000" w:firstRow="0" w:lastRow="0" w:firstColumn="0" w:lastColumn="0" w:noHBand="0" w:noVBand="0"/>
    </w:tblPr>
    <w:tblGrid>
      <w:gridCol w:w="3120"/>
      <w:gridCol w:w="3120"/>
      <w:gridCol w:w="3120"/>
    </w:tblGrid>
    <w:tr w:rsidR="00DE1F91" w14:paraId="1D11C2E2" w14:textId="77777777">
      <w:tblPrEx>
        <w:tblCellMar>
          <w:top w:w="0" w:type="dxa"/>
          <w:bottom w:w="0" w:type="dxa"/>
        </w:tblCellMar>
      </w:tblPrEx>
      <w:trPr>
        <w:trHeight w:val="300"/>
      </w:trPr>
      <w:tc>
        <w:tcPr>
          <w:tcW w:w="3120" w:type="dxa"/>
          <w:shd w:val="clear" w:color="auto" w:fill="auto"/>
          <w:tcMar>
            <w:top w:w="0" w:type="dxa"/>
            <w:left w:w="108" w:type="dxa"/>
            <w:bottom w:w="0" w:type="dxa"/>
            <w:right w:w="108" w:type="dxa"/>
          </w:tcMar>
        </w:tcPr>
        <w:p w14:paraId="63597B5F" w14:textId="77777777" w:rsidR="00DC31F7" w:rsidRDefault="00DC31F7">
          <w:pPr>
            <w:pStyle w:val="Header"/>
            <w:ind w:left="-115"/>
          </w:pPr>
        </w:p>
      </w:tc>
      <w:tc>
        <w:tcPr>
          <w:tcW w:w="3120" w:type="dxa"/>
          <w:shd w:val="clear" w:color="auto" w:fill="auto"/>
          <w:tcMar>
            <w:top w:w="0" w:type="dxa"/>
            <w:left w:w="108" w:type="dxa"/>
            <w:bottom w:w="0" w:type="dxa"/>
            <w:right w:w="108" w:type="dxa"/>
          </w:tcMar>
        </w:tcPr>
        <w:p w14:paraId="7ADECC04" w14:textId="77777777" w:rsidR="00DC31F7" w:rsidRDefault="00DC31F7">
          <w:pPr>
            <w:pStyle w:val="Header"/>
            <w:jc w:val="center"/>
          </w:pPr>
        </w:p>
      </w:tc>
      <w:tc>
        <w:tcPr>
          <w:tcW w:w="3120" w:type="dxa"/>
          <w:shd w:val="clear" w:color="auto" w:fill="auto"/>
          <w:tcMar>
            <w:top w:w="0" w:type="dxa"/>
            <w:left w:w="108" w:type="dxa"/>
            <w:bottom w:w="0" w:type="dxa"/>
            <w:right w:w="108" w:type="dxa"/>
          </w:tcMar>
        </w:tcPr>
        <w:p w14:paraId="5045B3DB" w14:textId="77777777" w:rsidR="00DC31F7" w:rsidRDefault="00DC31F7">
          <w:pPr>
            <w:pStyle w:val="Header"/>
            <w:ind w:right="-115"/>
            <w:jc w:val="right"/>
          </w:pPr>
        </w:p>
      </w:tc>
    </w:tr>
  </w:tbl>
  <w:p w14:paraId="4D6E2846" w14:textId="77777777" w:rsidR="00DC31F7" w:rsidRDefault="00DC3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C89F" w14:textId="77777777" w:rsidR="00BD6A36" w:rsidRDefault="00BD6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C288D" w14:textId="77777777" w:rsidR="00DC31F7" w:rsidRDefault="00DC31F7">
      <w:pPr>
        <w:spacing w:after="0" w:line="240" w:lineRule="auto"/>
      </w:pPr>
      <w:r>
        <w:rPr>
          <w:color w:val="000000"/>
        </w:rPr>
        <w:separator/>
      </w:r>
    </w:p>
  </w:footnote>
  <w:footnote w:type="continuationSeparator" w:id="0">
    <w:p w14:paraId="54466B1B" w14:textId="77777777" w:rsidR="00DC31F7" w:rsidRDefault="00DC3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92EF" w14:textId="77777777" w:rsidR="00BD6A36" w:rsidRDefault="00BD6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CellMar>
        <w:left w:w="10" w:type="dxa"/>
        <w:right w:w="10" w:type="dxa"/>
      </w:tblCellMar>
      <w:tblLook w:val="0000" w:firstRow="0" w:lastRow="0" w:firstColumn="0" w:lastColumn="0" w:noHBand="0" w:noVBand="0"/>
    </w:tblPr>
    <w:tblGrid>
      <w:gridCol w:w="3120"/>
      <w:gridCol w:w="3120"/>
      <w:gridCol w:w="3120"/>
    </w:tblGrid>
    <w:tr w:rsidR="00DE1F91" w14:paraId="010D609A" w14:textId="77777777">
      <w:tblPrEx>
        <w:tblCellMar>
          <w:top w:w="0" w:type="dxa"/>
          <w:bottom w:w="0" w:type="dxa"/>
        </w:tblCellMar>
      </w:tblPrEx>
      <w:trPr>
        <w:trHeight w:val="300"/>
      </w:trPr>
      <w:tc>
        <w:tcPr>
          <w:tcW w:w="3120" w:type="dxa"/>
          <w:shd w:val="clear" w:color="auto" w:fill="auto"/>
          <w:tcMar>
            <w:top w:w="0" w:type="dxa"/>
            <w:left w:w="108" w:type="dxa"/>
            <w:bottom w:w="0" w:type="dxa"/>
            <w:right w:w="108" w:type="dxa"/>
          </w:tcMar>
        </w:tcPr>
        <w:p w14:paraId="10AD7643" w14:textId="77777777" w:rsidR="00BD6A36" w:rsidRDefault="00BD6A36">
          <w:pPr>
            <w:pStyle w:val="Header"/>
            <w:ind w:left="-115"/>
            <w:rPr>
              <w:rFonts w:ascii="Times New Roman" w:eastAsia="Times New Roman" w:hAnsi="Times New Roman" w:cs="Times New Roman"/>
            </w:rPr>
          </w:pPr>
          <w:r>
            <w:rPr>
              <w:rFonts w:ascii="Times New Roman" w:eastAsia="Times New Roman" w:hAnsi="Times New Roman" w:cs="Times New Roman"/>
            </w:rPr>
            <w:t>Essay #4</w:t>
          </w:r>
        </w:p>
        <w:p w14:paraId="086CE8D4" w14:textId="19948698" w:rsidR="00DC31F7" w:rsidRDefault="00DC31F7">
          <w:pPr>
            <w:pStyle w:val="Header"/>
            <w:ind w:left="-115"/>
            <w:rPr>
              <w:rFonts w:ascii="Times New Roman" w:eastAsia="Times New Roman" w:hAnsi="Times New Roman" w:cs="Times New Roman"/>
            </w:rPr>
          </w:pPr>
        </w:p>
        <w:p w14:paraId="36AFCAA8" w14:textId="1DF141FC" w:rsidR="00BD6A36" w:rsidRDefault="00BD6A36">
          <w:pPr>
            <w:pStyle w:val="Header"/>
            <w:ind w:left="-115"/>
            <w:rPr>
              <w:rFonts w:ascii="Times New Roman" w:eastAsia="Times New Roman" w:hAnsi="Times New Roman" w:cs="Times New Roman"/>
            </w:rPr>
          </w:pPr>
          <w:r>
            <w:rPr>
              <w:rFonts w:ascii="Times New Roman" w:eastAsia="Times New Roman" w:hAnsi="Times New Roman" w:cs="Times New Roman"/>
            </w:rPr>
            <w:t>Word Count: 500</w:t>
          </w:r>
        </w:p>
      </w:tc>
      <w:tc>
        <w:tcPr>
          <w:tcW w:w="3120" w:type="dxa"/>
          <w:shd w:val="clear" w:color="auto" w:fill="auto"/>
          <w:tcMar>
            <w:top w:w="0" w:type="dxa"/>
            <w:left w:w="108" w:type="dxa"/>
            <w:bottom w:w="0" w:type="dxa"/>
            <w:right w:w="108" w:type="dxa"/>
          </w:tcMar>
        </w:tcPr>
        <w:p w14:paraId="10FE5E29" w14:textId="77777777" w:rsidR="00DC31F7" w:rsidRDefault="00DC31F7">
          <w:pPr>
            <w:pStyle w:val="Header"/>
            <w:jc w:val="center"/>
          </w:pPr>
        </w:p>
      </w:tc>
      <w:tc>
        <w:tcPr>
          <w:tcW w:w="3120" w:type="dxa"/>
          <w:shd w:val="clear" w:color="auto" w:fill="auto"/>
          <w:tcMar>
            <w:top w:w="0" w:type="dxa"/>
            <w:left w:w="108" w:type="dxa"/>
            <w:bottom w:w="0" w:type="dxa"/>
            <w:right w:w="108" w:type="dxa"/>
          </w:tcMar>
        </w:tcPr>
        <w:p w14:paraId="096EF72E" w14:textId="71FC22EC" w:rsidR="00DC31F7" w:rsidRDefault="00DC31F7">
          <w:pPr>
            <w:pStyle w:val="Header"/>
            <w:ind w:right="-115"/>
            <w:jc w:val="center"/>
            <w:rPr>
              <w:rFonts w:ascii="Times New Roman" w:eastAsia="Times New Roman" w:hAnsi="Times New Roman" w:cs="Times New Roman"/>
            </w:rPr>
          </w:pPr>
        </w:p>
      </w:tc>
    </w:tr>
  </w:tbl>
  <w:p w14:paraId="793FB2F5" w14:textId="77777777" w:rsidR="00DC31F7" w:rsidRDefault="00DC3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CC90" w14:textId="77777777" w:rsidR="00BD6A36" w:rsidRDefault="00BD6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revisionView w:inkAnnotations="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E7D2B"/>
    <w:rsid w:val="001E7D2B"/>
    <w:rsid w:val="0073475D"/>
    <w:rsid w:val="00BD6A36"/>
    <w:rsid w:val="00CF2B5C"/>
    <w:rsid w:val="00DC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F684DA"/>
  <w15:docId w15:val="{42C53342-438F-4D90-88E1-5435A645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MS Mincho" w:hAnsi="Aptos" w:cs="Arial"/>
        <w:sz w:val="24"/>
        <w:szCs w:val="24"/>
        <w:lang w:val="en-US" w:eastAsia="ja-JP" w:bidi="ar-SA"/>
      </w:rPr>
    </w:rPrDefault>
    <w:pPrDefault>
      <w:pPr>
        <w:autoSpaceDN w:val="0"/>
        <w:spacing w:after="160" w:line="278"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MS Gothic"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MS Gothic"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MS Gothic"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MS Gothic"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MS Gothic"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MS Gothic" w:cs="Times New Roman"/>
      <w:i/>
      <w:iCs/>
      <w:color w:val="595959"/>
    </w:rPr>
  </w:style>
  <w:style w:type="paragraph" w:styleId="Heading7">
    <w:name w:val="heading 7"/>
    <w:basedOn w:val="Normal"/>
    <w:next w:val="Normal"/>
    <w:pPr>
      <w:keepNext/>
      <w:keepLines/>
      <w:spacing w:before="40" w:after="0"/>
      <w:outlineLvl w:val="6"/>
    </w:pPr>
    <w:rPr>
      <w:rFonts w:eastAsia="MS Gothic" w:cs="Times New Roman"/>
      <w:color w:val="595959"/>
    </w:rPr>
  </w:style>
  <w:style w:type="paragraph" w:styleId="Heading8">
    <w:name w:val="heading 8"/>
    <w:basedOn w:val="Normal"/>
    <w:next w:val="Normal"/>
    <w:pPr>
      <w:keepNext/>
      <w:keepLines/>
      <w:spacing w:after="0"/>
      <w:outlineLvl w:val="7"/>
    </w:pPr>
    <w:rPr>
      <w:rFonts w:eastAsia="MS Gothic" w:cs="Times New Roman"/>
      <w:i/>
      <w:iCs/>
      <w:color w:val="272727"/>
    </w:rPr>
  </w:style>
  <w:style w:type="paragraph" w:styleId="Heading9">
    <w:name w:val="heading 9"/>
    <w:basedOn w:val="Normal"/>
    <w:next w:val="Normal"/>
    <w:pPr>
      <w:keepNext/>
      <w:keepLines/>
      <w:spacing w:after="0"/>
      <w:outlineLvl w:val="8"/>
    </w:pPr>
    <w:rPr>
      <w:rFonts w:eastAsia="MS Gothic"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MS Gothic" w:hAnsi="Aptos Display" w:cs="Times New Roman"/>
      <w:color w:val="0F4761"/>
      <w:sz w:val="40"/>
      <w:szCs w:val="40"/>
    </w:rPr>
  </w:style>
  <w:style w:type="character" w:customStyle="1" w:styleId="Heading2Char">
    <w:name w:val="Heading 2 Char"/>
    <w:basedOn w:val="DefaultParagraphFont"/>
    <w:rPr>
      <w:rFonts w:ascii="Aptos Display" w:eastAsia="MS Gothic" w:hAnsi="Aptos Display" w:cs="Times New Roman"/>
      <w:color w:val="0F4761"/>
      <w:sz w:val="32"/>
      <w:szCs w:val="32"/>
    </w:rPr>
  </w:style>
  <w:style w:type="character" w:customStyle="1" w:styleId="Heading3Char">
    <w:name w:val="Heading 3 Char"/>
    <w:basedOn w:val="DefaultParagraphFont"/>
    <w:rPr>
      <w:rFonts w:eastAsia="MS Gothic" w:cs="Times New Roman"/>
      <w:color w:val="0F4761"/>
      <w:sz w:val="28"/>
      <w:szCs w:val="28"/>
    </w:rPr>
  </w:style>
  <w:style w:type="character" w:customStyle="1" w:styleId="Heading4Char">
    <w:name w:val="Heading 4 Char"/>
    <w:basedOn w:val="DefaultParagraphFont"/>
    <w:rPr>
      <w:rFonts w:eastAsia="MS Gothic" w:cs="Times New Roman"/>
      <w:i/>
      <w:iCs/>
      <w:color w:val="0F4761"/>
    </w:rPr>
  </w:style>
  <w:style w:type="character" w:customStyle="1" w:styleId="Heading5Char">
    <w:name w:val="Heading 5 Char"/>
    <w:basedOn w:val="DefaultParagraphFont"/>
    <w:rPr>
      <w:rFonts w:eastAsia="MS Gothic" w:cs="Times New Roman"/>
      <w:color w:val="0F4761"/>
    </w:rPr>
  </w:style>
  <w:style w:type="character" w:customStyle="1" w:styleId="Heading6Char">
    <w:name w:val="Heading 6 Char"/>
    <w:basedOn w:val="DefaultParagraphFont"/>
    <w:rPr>
      <w:rFonts w:eastAsia="MS Gothic" w:cs="Times New Roman"/>
      <w:i/>
      <w:iCs/>
      <w:color w:val="595959"/>
    </w:rPr>
  </w:style>
  <w:style w:type="character" w:customStyle="1" w:styleId="Heading7Char">
    <w:name w:val="Heading 7 Char"/>
    <w:basedOn w:val="DefaultParagraphFont"/>
    <w:rPr>
      <w:rFonts w:eastAsia="MS Gothic" w:cs="Times New Roman"/>
      <w:color w:val="595959"/>
    </w:rPr>
  </w:style>
  <w:style w:type="character" w:customStyle="1" w:styleId="Heading8Char">
    <w:name w:val="Heading 8 Char"/>
    <w:basedOn w:val="DefaultParagraphFont"/>
    <w:rPr>
      <w:rFonts w:eastAsia="MS Gothic" w:cs="Times New Roman"/>
      <w:i/>
      <w:iCs/>
      <w:color w:val="272727"/>
    </w:rPr>
  </w:style>
  <w:style w:type="character" w:customStyle="1" w:styleId="Heading9Char">
    <w:name w:val="Heading 9 Char"/>
    <w:basedOn w:val="DefaultParagraphFont"/>
    <w:rPr>
      <w:rFonts w:eastAsia="MS Gothic" w:cs="Times New Roman"/>
      <w:color w:val="272727"/>
    </w:rPr>
  </w:style>
  <w:style w:type="character" w:customStyle="1" w:styleId="TitleChar">
    <w:name w:val="Title Char"/>
    <w:basedOn w:val="DefaultParagraphFont"/>
    <w:rPr>
      <w:rFonts w:ascii="Aptos Display" w:eastAsia="MS Gothic" w:hAnsi="Aptos Display" w:cs="Times New Roman"/>
      <w:spacing w:val="-10"/>
      <w:kern w:val="3"/>
      <w:sz w:val="56"/>
      <w:szCs w:val="56"/>
    </w:rPr>
  </w:style>
  <w:style w:type="paragraph" w:styleId="Title">
    <w:name w:val="Title"/>
    <w:basedOn w:val="Normal"/>
    <w:next w:val="Normal"/>
    <w:uiPriority w:val="10"/>
    <w:qFormat/>
    <w:pPr>
      <w:spacing w:after="80" w:line="240" w:lineRule="auto"/>
    </w:pPr>
    <w:rPr>
      <w:rFonts w:ascii="Aptos Display" w:eastAsia="MS Gothic" w:hAnsi="Aptos Display" w:cs="Times New Roman"/>
      <w:spacing w:val="-10"/>
      <w:kern w:val="3"/>
      <w:sz w:val="56"/>
      <w:szCs w:val="56"/>
    </w:rPr>
  </w:style>
  <w:style w:type="character" w:customStyle="1" w:styleId="SubtitleChar">
    <w:name w:val="Subtitle Char"/>
    <w:basedOn w:val="DefaultParagraphFont"/>
    <w:rPr>
      <w:rFonts w:eastAsia="MS Gothic" w:cs="Times New Roman"/>
      <w:color w:val="595959"/>
      <w:spacing w:val="15"/>
      <w:sz w:val="28"/>
      <w:szCs w:val="28"/>
    </w:rPr>
  </w:style>
  <w:style w:type="paragraph" w:styleId="Subtitle">
    <w:name w:val="Subtitle"/>
    <w:basedOn w:val="Normal"/>
    <w:next w:val="Normal"/>
    <w:uiPriority w:val="11"/>
    <w:qFormat/>
    <w:rPr>
      <w:rFonts w:eastAsia="MS Gothic" w:cs="Times New Roman"/>
      <w:color w:val="595959"/>
      <w:spacing w:val="15"/>
      <w:sz w:val="28"/>
      <w:szCs w:val="28"/>
    </w:rPr>
  </w:style>
  <w:style w:type="character" w:styleId="IntenseEmphasis">
    <w:name w:val="Intense Emphasis"/>
    <w:basedOn w:val="DefaultParagraphFont"/>
    <w:rPr>
      <w:i/>
      <w:iCs/>
      <w:color w:val="0F4761"/>
    </w:rPr>
  </w:style>
  <w:style w:type="character" w:customStyle="1" w:styleId="QuoteChar">
    <w:name w:val="Quote Char"/>
    <w:basedOn w:val="DefaultParagraphFont"/>
    <w:rPr>
      <w:i/>
      <w:iCs/>
      <w:color w:val="404040"/>
    </w:rPr>
  </w:style>
  <w:style w:type="paragraph" w:styleId="Quote">
    <w:name w:val="Quote"/>
    <w:basedOn w:val="Normal"/>
    <w:next w:val="Normal"/>
    <w:pPr>
      <w:spacing w:before="160"/>
      <w:jc w:val="center"/>
    </w:pPr>
    <w:rPr>
      <w:i/>
      <w:iCs/>
      <w:color w:val="404040"/>
    </w:rPr>
  </w:style>
  <w:style w:type="character" w:customStyle="1" w:styleId="IntenseQuoteChar">
    <w:name w:val="Intense Quote Char"/>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94479EB63F574292D1D2C5C976FF5B" ma:contentTypeVersion="18" ma:contentTypeDescription="Create a new document." ma:contentTypeScope="" ma:versionID="e6cc187595d3861f032bfb8d0b62275c">
  <xsd:schema xmlns:xsd="http://www.w3.org/2001/XMLSchema" xmlns:xs="http://www.w3.org/2001/XMLSchema" xmlns:p="http://schemas.microsoft.com/office/2006/metadata/properties" xmlns:ns2="06cc9afa-b32c-4c96-a5fb-cff99a1cff73" xmlns:ns3="93d4c056-65e3-4e7a-b806-f6ac38e90d59" targetNamespace="http://schemas.microsoft.com/office/2006/metadata/properties" ma:root="true" ma:fieldsID="c8a98bf5ed947870aaea1e9b87180bfb" ns2:_="" ns3:_="">
    <xsd:import namespace="06cc9afa-b32c-4c96-a5fb-cff99a1cff73"/>
    <xsd:import namespace="93d4c056-65e3-4e7a-b806-f6ac38e90d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c9afa-b32c-4c96-a5fb-cff99a1cf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f95736-bbe9-40c9-918d-ebd9bd28360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d4c056-65e3-4e7a-b806-f6ac38e90d5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9a6bf3-d5f6-4143-a31d-123553f5cdfb}" ma:internalName="TaxCatchAll" ma:showField="CatchAllData" ma:web="93d4c056-65e3-4e7a-b806-f6ac38e90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cc9afa-b32c-4c96-a5fb-cff99a1cff73">
      <Terms xmlns="http://schemas.microsoft.com/office/infopath/2007/PartnerControls"/>
    </lcf76f155ced4ddcb4097134ff3c332f>
    <TaxCatchAll xmlns="93d4c056-65e3-4e7a-b806-f6ac38e90d59" xsi:nil="true"/>
  </documentManagement>
</p:properties>
</file>

<file path=customXml/itemProps1.xml><?xml version="1.0" encoding="utf-8"?>
<ds:datastoreItem xmlns:ds="http://schemas.openxmlformats.org/officeDocument/2006/customXml" ds:itemID="{D8005F27-353C-498F-AA99-BBC376D11E60}"/>
</file>

<file path=customXml/itemProps2.xml><?xml version="1.0" encoding="utf-8"?>
<ds:datastoreItem xmlns:ds="http://schemas.openxmlformats.org/officeDocument/2006/customXml" ds:itemID="{A2F97476-756B-40BD-8F6E-103AA84FDC5F}"/>
</file>

<file path=customXml/itemProps3.xml><?xml version="1.0" encoding="utf-8"?>
<ds:datastoreItem xmlns:ds="http://schemas.openxmlformats.org/officeDocument/2006/customXml" ds:itemID="{CB018B23-DC48-49E0-83D8-4D0F899501DC}"/>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Makenna</dc:creator>
  <dc:description/>
  <cp:lastModifiedBy>Yvonne Cockram</cp:lastModifiedBy>
  <cp:revision>3</cp:revision>
  <dcterms:created xsi:type="dcterms:W3CDTF">2025-05-17T20:31:00Z</dcterms:created>
  <dcterms:modified xsi:type="dcterms:W3CDTF">2025-05-17T20:31:00Z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0x0101007494479EB63F574292D1D2C5C976FF5B</vt:lpwstr>
  </property>
</Properties>
</file>