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9A4" w:rsidRPr="005919A4" w:rsidRDefault="000A5301" w:rsidP="005919A4">
      <w:pPr>
        <w:rPr>
          <w:rFonts w:ascii="Arial" w:eastAsia="Times New Roman" w:hAnsi="Arial" w:cs="Arial"/>
          <w:b/>
          <w:bCs/>
          <w:sz w:val="36"/>
          <w:szCs w:val="36"/>
        </w:rPr>
      </w:pPr>
      <w:bookmarkStart w:id="0" w:name="_GoBack"/>
      <w:bookmarkEnd w:id="0"/>
      <w:r w:rsidRPr="000A5301">
        <w:rPr>
          <w:rFonts w:ascii="Arial" w:eastAsia="Times New Roman" w:hAnsi="Arial" w:cs="Arial"/>
          <w:b/>
          <w:bCs/>
          <w:sz w:val="20"/>
          <w:szCs w:val="20"/>
        </w:rPr>
        <w:t> </w:t>
      </w:r>
    </w:p>
    <w:p w:rsidR="005919A4" w:rsidRDefault="005919A4" w:rsidP="005919A4">
      <w:pPr>
        <w:rPr>
          <w:rFonts w:ascii="Arial" w:eastAsia="Times New Roman" w:hAnsi="Arial" w:cs="Arial"/>
          <w:b/>
          <w:bCs/>
          <w:sz w:val="36"/>
          <w:szCs w:val="36"/>
        </w:rPr>
      </w:pPr>
    </w:p>
    <w:p w:rsidR="005919A4" w:rsidRDefault="005919A4" w:rsidP="005919A4">
      <w:pPr>
        <w:rPr>
          <w:rFonts w:ascii="Arial" w:eastAsia="Times New Roman" w:hAnsi="Arial" w:cs="Arial"/>
          <w:b/>
          <w:bCs/>
          <w:sz w:val="36"/>
          <w:szCs w:val="36"/>
        </w:rPr>
      </w:pPr>
    </w:p>
    <w:p w:rsidR="000A5301" w:rsidRPr="00FE5448" w:rsidRDefault="005919A4" w:rsidP="005919A4">
      <w:pPr>
        <w:rPr>
          <w:rFonts w:ascii="Times New Roman" w:eastAsia="Times New Roman" w:hAnsi="Times New Roman" w:cs="Times New Roman"/>
          <w:b/>
          <w:bCs/>
          <w:sz w:val="72"/>
          <w:szCs w:val="72"/>
        </w:rPr>
      </w:pPr>
      <w:r w:rsidRPr="00FE5448">
        <w:rPr>
          <w:rFonts w:ascii="Arial" w:eastAsia="Times New Roman" w:hAnsi="Arial" w:cs="Arial"/>
          <w:b/>
          <w:bCs/>
          <w:sz w:val="72"/>
          <w:szCs w:val="72"/>
        </w:rPr>
        <w:t>Trends in Labor and Employment Law: The Perspective of Counsel Representing Businesses</w:t>
      </w:r>
    </w:p>
    <w:p w:rsidR="00FE5448" w:rsidRDefault="00FE5448" w:rsidP="000A5301">
      <w:pPr>
        <w:rPr>
          <w:rFonts w:ascii="Times New Roman" w:hAnsi="Times New Roman" w:cs="Times New Roman"/>
          <w:b/>
          <w:sz w:val="40"/>
          <w:szCs w:val="40"/>
        </w:rPr>
      </w:pPr>
    </w:p>
    <w:p w:rsidR="005919A4" w:rsidRPr="007B2A66" w:rsidRDefault="007B2A66" w:rsidP="000A5301">
      <w:pPr>
        <w:rPr>
          <w:rFonts w:ascii="Times New Roman" w:hAnsi="Times New Roman" w:cs="Times New Roman"/>
          <w:b/>
          <w:sz w:val="40"/>
          <w:szCs w:val="40"/>
        </w:rPr>
      </w:pPr>
      <w:r w:rsidRPr="007B2A66">
        <w:rPr>
          <w:rFonts w:ascii="Times New Roman" w:hAnsi="Times New Roman" w:cs="Times New Roman"/>
          <w:b/>
          <w:sz w:val="40"/>
          <w:szCs w:val="40"/>
        </w:rPr>
        <w:t>Session 6B</w:t>
      </w:r>
    </w:p>
    <w:p w:rsidR="007B2A66" w:rsidRDefault="005919A4" w:rsidP="000A5301">
      <w:pPr>
        <w:rPr>
          <w:rFonts w:ascii="Times New Roman" w:hAnsi="Times New Roman" w:cs="Times New Roman"/>
          <w:b/>
          <w:sz w:val="40"/>
          <w:szCs w:val="40"/>
        </w:rPr>
      </w:pPr>
      <w:r w:rsidRPr="005919A4">
        <w:rPr>
          <w:rFonts w:ascii="Times New Roman" w:hAnsi="Times New Roman" w:cs="Times New Roman"/>
          <w:b/>
          <w:sz w:val="40"/>
          <w:szCs w:val="40"/>
        </w:rPr>
        <w:t>Federal Bar Association Annual Convention 2012</w:t>
      </w:r>
    </w:p>
    <w:p w:rsidR="007B2A66" w:rsidRDefault="007B2A66" w:rsidP="000A5301">
      <w:pPr>
        <w:rPr>
          <w:rFonts w:ascii="Times New Roman" w:hAnsi="Times New Roman" w:cs="Times New Roman"/>
          <w:b/>
          <w:sz w:val="40"/>
          <w:szCs w:val="40"/>
        </w:rPr>
      </w:pPr>
      <w:r>
        <w:rPr>
          <w:rFonts w:ascii="Times New Roman" w:hAnsi="Times New Roman" w:cs="Times New Roman"/>
          <w:b/>
          <w:sz w:val="40"/>
          <w:szCs w:val="40"/>
        </w:rPr>
        <w:t>San Diego, California</w:t>
      </w:r>
    </w:p>
    <w:p w:rsidR="00FE5448" w:rsidRDefault="005919A4" w:rsidP="00FE5448">
      <w:pPr>
        <w:rPr>
          <w:rFonts w:ascii="Times New Roman" w:hAnsi="Times New Roman" w:cs="Times New Roman"/>
          <w:b/>
          <w:sz w:val="32"/>
          <w:szCs w:val="32"/>
        </w:rPr>
      </w:pPr>
      <w:r w:rsidRPr="005919A4">
        <w:rPr>
          <w:rFonts w:ascii="Times New Roman" w:hAnsi="Times New Roman" w:cs="Times New Roman"/>
          <w:b/>
          <w:sz w:val="40"/>
          <w:szCs w:val="40"/>
        </w:rPr>
        <w:t>September 21, 2012</w:t>
      </w:r>
    </w:p>
    <w:p w:rsidR="00FE5448" w:rsidRDefault="00FE5448" w:rsidP="005919A4">
      <w:pPr>
        <w:spacing w:after="0" w:line="240" w:lineRule="auto"/>
        <w:rPr>
          <w:rFonts w:ascii="Times New Roman" w:hAnsi="Times New Roman" w:cs="Times New Roman"/>
          <w:b/>
          <w:sz w:val="32"/>
          <w:szCs w:val="32"/>
        </w:rPr>
      </w:pPr>
    </w:p>
    <w:p w:rsidR="00FE5448" w:rsidRDefault="00FE5448" w:rsidP="005919A4">
      <w:pPr>
        <w:spacing w:after="0" w:line="240" w:lineRule="auto"/>
        <w:rPr>
          <w:rFonts w:ascii="Times New Roman" w:hAnsi="Times New Roman" w:cs="Times New Roman"/>
          <w:b/>
          <w:sz w:val="32"/>
          <w:szCs w:val="32"/>
        </w:rPr>
      </w:pPr>
    </w:p>
    <w:p w:rsidR="005919A4" w:rsidRPr="005919A4" w:rsidRDefault="005919A4" w:rsidP="005919A4">
      <w:pPr>
        <w:spacing w:after="0" w:line="240" w:lineRule="auto"/>
        <w:rPr>
          <w:rFonts w:ascii="Times New Roman" w:hAnsi="Times New Roman" w:cs="Times New Roman"/>
          <w:b/>
          <w:sz w:val="32"/>
          <w:szCs w:val="32"/>
        </w:rPr>
      </w:pPr>
      <w:r w:rsidRPr="005919A4">
        <w:rPr>
          <w:rFonts w:ascii="Times New Roman" w:hAnsi="Times New Roman" w:cs="Times New Roman"/>
          <w:b/>
          <w:sz w:val="32"/>
          <w:szCs w:val="32"/>
        </w:rPr>
        <w:t>Kenneth J. Rose</w:t>
      </w:r>
    </w:p>
    <w:p w:rsidR="005919A4" w:rsidRPr="005919A4" w:rsidRDefault="005919A4" w:rsidP="005919A4">
      <w:pPr>
        <w:spacing w:after="0" w:line="240" w:lineRule="auto"/>
        <w:rPr>
          <w:rFonts w:ascii="Times New Roman" w:hAnsi="Times New Roman" w:cs="Times New Roman"/>
          <w:b/>
          <w:sz w:val="32"/>
          <w:szCs w:val="32"/>
        </w:rPr>
      </w:pPr>
      <w:r w:rsidRPr="005919A4">
        <w:rPr>
          <w:rFonts w:ascii="Times New Roman" w:hAnsi="Times New Roman" w:cs="Times New Roman"/>
          <w:b/>
          <w:sz w:val="32"/>
          <w:szCs w:val="32"/>
        </w:rPr>
        <w:t>The Rose Group, A</w:t>
      </w:r>
      <w:r>
        <w:rPr>
          <w:rFonts w:ascii="Times New Roman" w:hAnsi="Times New Roman" w:cs="Times New Roman"/>
          <w:b/>
          <w:sz w:val="32"/>
          <w:szCs w:val="32"/>
        </w:rPr>
        <w:t>PLC</w:t>
      </w:r>
    </w:p>
    <w:p w:rsidR="005919A4" w:rsidRDefault="005919A4" w:rsidP="005919A4">
      <w:pPr>
        <w:spacing w:after="0" w:line="240" w:lineRule="auto"/>
        <w:rPr>
          <w:rFonts w:ascii="Times New Roman" w:hAnsi="Times New Roman" w:cs="Times New Roman"/>
          <w:b/>
          <w:sz w:val="32"/>
          <w:szCs w:val="32"/>
        </w:rPr>
      </w:pPr>
      <w:r w:rsidRPr="005919A4">
        <w:rPr>
          <w:rFonts w:ascii="Times New Roman" w:hAnsi="Times New Roman" w:cs="Times New Roman"/>
          <w:b/>
          <w:sz w:val="32"/>
          <w:szCs w:val="32"/>
        </w:rPr>
        <w:t>10636 Scripps Summit Court, Suite 139</w:t>
      </w:r>
    </w:p>
    <w:p w:rsidR="005919A4" w:rsidRDefault="005919A4" w:rsidP="005919A4">
      <w:pPr>
        <w:spacing w:after="0" w:line="240" w:lineRule="auto"/>
        <w:rPr>
          <w:rFonts w:ascii="Times New Roman" w:hAnsi="Times New Roman" w:cs="Times New Roman"/>
          <w:b/>
          <w:sz w:val="32"/>
          <w:szCs w:val="32"/>
        </w:rPr>
      </w:pPr>
      <w:r w:rsidRPr="005919A4">
        <w:rPr>
          <w:rFonts w:ascii="Times New Roman" w:hAnsi="Times New Roman" w:cs="Times New Roman"/>
          <w:b/>
          <w:sz w:val="32"/>
          <w:szCs w:val="32"/>
        </w:rPr>
        <w:t>San Diego, CA 92131</w:t>
      </w:r>
    </w:p>
    <w:p w:rsidR="00FE5448" w:rsidRPr="005919A4" w:rsidRDefault="00FE5448" w:rsidP="005919A4">
      <w:pPr>
        <w:spacing w:after="0" w:line="240" w:lineRule="auto"/>
        <w:rPr>
          <w:rFonts w:ascii="Times New Roman" w:hAnsi="Times New Roman" w:cs="Times New Roman"/>
          <w:b/>
          <w:sz w:val="32"/>
          <w:szCs w:val="32"/>
        </w:rPr>
      </w:pPr>
      <w:r>
        <w:rPr>
          <w:rFonts w:ascii="Times New Roman" w:hAnsi="Times New Roman" w:cs="Times New Roman"/>
          <w:b/>
          <w:sz w:val="32"/>
          <w:szCs w:val="32"/>
        </w:rPr>
        <w:t>619.822.1088</w:t>
      </w:r>
    </w:p>
    <w:p w:rsidR="00FE5448" w:rsidRPr="005919A4" w:rsidRDefault="005919A4" w:rsidP="005919A4">
      <w:pPr>
        <w:spacing w:after="0" w:line="240" w:lineRule="auto"/>
        <w:rPr>
          <w:rFonts w:ascii="Times New Roman" w:hAnsi="Times New Roman" w:cs="Times New Roman"/>
          <w:b/>
          <w:sz w:val="32"/>
          <w:szCs w:val="32"/>
        </w:rPr>
      </w:pPr>
      <w:r w:rsidRPr="005919A4">
        <w:rPr>
          <w:rFonts w:ascii="Times New Roman" w:hAnsi="Times New Roman" w:cs="Times New Roman"/>
          <w:b/>
          <w:sz w:val="32"/>
          <w:szCs w:val="32"/>
        </w:rPr>
        <w:t>Email:krose@rosegroup.us</w:t>
      </w:r>
    </w:p>
    <w:p w:rsidR="005919A4" w:rsidRDefault="007B2A66" w:rsidP="005919A4">
      <w:pPr>
        <w:spacing w:after="0" w:line="240" w:lineRule="auto"/>
        <w:rPr>
          <w:rFonts w:ascii="Times New Roman" w:hAnsi="Times New Roman" w:cs="Times New Roman"/>
          <w:b/>
          <w:sz w:val="32"/>
          <w:szCs w:val="32"/>
        </w:rPr>
      </w:pPr>
      <w:r w:rsidRPr="005D597F">
        <w:rPr>
          <w:rFonts w:ascii="Times New Roman" w:hAnsi="Times New Roman" w:cs="Times New Roman"/>
          <w:b/>
          <w:sz w:val="32"/>
          <w:szCs w:val="32"/>
        </w:rPr>
        <w:t>www.rosegroup.us</w:t>
      </w:r>
    </w:p>
    <w:p w:rsidR="007B2A66" w:rsidRDefault="007B2A66" w:rsidP="005919A4">
      <w:pPr>
        <w:spacing w:after="0" w:line="240" w:lineRule="auto"/>
        <w:rPr>
          <w:rFonts w:ascii="Times New Roman" w:hAnsi="Times New Roman" w:cs="Times New Roman"/>
          <w:b/>
          <w:sz w:val="32"/>
          <w:szCs w:val="32"/>
        </w:rPr>
      </w:pPr>
    </w:p>
    <w:p w:rsidR="00FE5448" w:rsidRPr="00FE5448" w:rsidRDefault="00FE5448" w:rsidP="000A5301">
      <w:pPr>
        <w:rPr>
          <w:rFonts w:ascii="Times New Roman" w:hAnsi="Times New Roman" w:cs="Times New Roman"/>
          <w:b/>
          <w:sz w:val="28"/>
          <w:szCs w:val="28"/>
          <w:u w:val="single"/>
        </w:rPr>
      </w:pPr>
      <w:r w:rsidRPr="00FE5448">
        <w:rPr>
          <w:rFonts w:ascii="Times New Roman" w:hAnsi="Times New Roman" w:cs="Times New Roman"/>
          <w:b/>
          <w:sz w:val="28"/>
          <w:szCs w:val="28"/>
          <w:u w:val="single"/>
        </w:rPr>
        <w:t>TRENDS IN LABOR AND EMPLOYMENT LAW: THE PERSPECTIVE OF COUNSEL REPRESENTING BUSINESSES</w:t>
      </w:r>
    </w:p>
    <w:p w:rsidR="00FE5448" w:rsidRDefault="00FE5448" w:rsidP="00FE5448">
      <w:pPr>
        <w:rPr>
          <w:rFonts w:ascii="Times New Roman" w:hAnsi="Times New Roman" w:cs="Times New Roman"/>
          <w:sz w:val="24"/>
          <w:szCs w:val="24"/>
        </w:rPr>
      </w:pPr>
      <w:r w:rsidRPr="00FE5448">
        <w:rPr>
          <w:rFonts w:ascii="Times New Roman" w:hAnsi="Times New Roman" w:cs="Times New Roman"/>
          <w:b/>
          <w:sz w:val="28"/>
          <w:szCs w:val="28"/>
        </w:rPr>
        <w:t>Kenneth J. Rose, The Rose Group, APLC, San Diego, California</w:t>
      </w:r>
    </w:p>
    <w:p w:rsidR="00FE5448" w:rsidRPr="007B2A66" w:rsidRDefault="00FE5448" w:rsidP="00FE5448">
      <w:pPr>
        <w:rPr>
          <w:rFonts w:ascii="Times New Roman" w:hAnsi="Times New Roman" w:cs="Times New Roman"/>
          <w:sz w:val="24"/>
          <w:szCs w:val="24"/>
        </w:rPr>
      </w:pPr>
      <w:r w:rsidRPr="00FE5448">
        <w:rPr>
          <w:rFonts w:ascii="Times New Roman" w:hAnsi="Times New Roman" w:cs="Times New Roman"/>
          <w:sz w:val="24"/>
          <w:szCs w:val="24"/>
        </w:rPr>
        <w:t>My employment law practice focuses on representation of companies doing business nationally and in the State of California.   This paper highlights significant recent developments in specific areas of federal and California employment law.</w:t>
      </w:r>
    </w:p>
    <w:p w:rsidR="000A5301" w:rsidRPr="007B2A66" w:rsidRDefault="005919A4" w:rsidP="000A5301">
      <w:pPr>
        <w:rPr>
          <w:rFonts w:ascii="Times New Roman" w:hAnsi="Times New Roman" w:cs="Times New Roman"/>
          <w:b/>
          <w:sz w:val="32"/>
          <w:szCs w:val="32"/>
          <w:u w:val="single"/>
        </w:rPr>
      </w:pPr>
      <w:r w:rsidRPr="007B2A66">
        <w:rPr>
          <w:rFonts w:ascii="Times New Roman" w:hAnsi="Times New Roman" w:cs="Times New Roman"/>
          <w:b/>
          <w:sz w:val="32"/>
          <w:szCs w:val="32"/>
        </w:rPr>
        <w:t>1.</w:t>
      </w:r>
      <w:r w:rsidRPr="007B2A66">
        <w:rPr>
          <w:rFonts w:ascii="Times New Roman" w:hAnsi="Times New Roman" w:cs="Times New Roman"/>
          <w:b/>
          <w:sz w:val="32"/>
          <w:szCs w:val="32"/>
        </w:rPr>
        <w:tab/>
      </w:r>
      <w:r w:rsidR="000A5301" w:rsidRPr="007B2A66">
        <w:rPr>
          <w:rFonts w:ascii="Times New Roman" w:hAnsi="Times New Roman" w:cs="Times New Roman"/>
          <w:b/>
          <w:sz w:val="32"/>
          <w:szCs w:val="32"/>
          <w:u w:val="single"/>
        </w:rPr>
        <w:t>WAGE &amp; HOUR LAW</w:t>
      </w:r>
    </w:p>
    <w:p w:rsidR="00FE5448" w:rsidRDefault="000A5301" w:rsidP="000A5301">
      <w:pPr>
        <w:rPr>
          <w:rFonts w:ascii="Times New Roman" w:hAnsi="Times New Roman" w:cs="Times New Roman"/>
          <w:sz w:val="24"/>
          <w:szCs w:val="24"/>
        </w:rPr>
      </w:pPr>
      <w:r w:rsidRPr="007B2A66">
        <w:rPr>
          <w:rFonts w:ascii="Times New Roman" w:hAnsi="Times New Roman" w:cs="Times New Roman"/>
          <w:sz w:val="24"/>
          <w:szCs w:val="24"/>
        </w:rPr>
        <w:t>The Fair Labor Standards Act</w:t>
      </w:r>
      <w:r w:rsidR="00375F67">
        <w:rPr>
          <w:rFonts w:ascii="Times New Roman" w:hAnsi="Times New Roman" w:cs="Times New Roman"/>
          <w:sz w:val="24"/>
          <w:szCs w:val="24"/>
        </w:rPr>
        <w:t xml:space="preserve">, </w:t>
      </w:r>
      <w:r w:rsidRPr="007B2A66">
        <w:rPr>
          <w:rFonts w:ascii="Times New Roman" w:hAnsi="Times New Roman" w:cs="Times New Roman"/>
          <w:sz w:val="24"/>
          <w:szCs w:val="24"/>
        </w:rPr>
        <w:t xml:space="preserve"> </w:t>
      </w:r>
      <w:r w:rsidR="00375F67" w:rsidRPr="00375F67">
        <w:rPr>
          <w:rFonts w:ascii="Times New Roman" w:hAnsi="Times New Roman" w:cs="Times New Roman"/>
          <w:sz w:val="24"/>
          <w:szCs w:val="24"/>
        </w:rPr>
        <w:t>29 U.S.C. 201, et seq.</w:t>
      </w:r>
      <w:r w:rsidR="00375F67">
        <w:rPr>
          <w:rFonts w:ascii="Times New Roman" w:hAnsi="Times New Roman" w:cs="Times New Roman"/>
          <w:sz w:val="24"/>
          <w:szCs w:val="24"/>
        </w:rPr>
        <w:t xml:space="preserve">, </w:t>
      </w:r>
      <w:r w:rsidRPr="007B2A66">
        <w:rPr>
          <w:rFonts w:ascii="Times New Roman" w:hAnsi="Times New Roman" w:cs="Times New Roman"/>
          <w:sz w:val="24"/>
          <w:szCs w:val="24"/>
        </w:rPr>
        <w:t xml:space="preserve">is the federal wage and hour law most comprehensive in coverage.   Most States have </w:t>
      </w:r>
      <w:r w:rsidR="005919A4" w:rsidRPr="007B2A66">
        <w:rPr>
          <w:rFonts w:ascii="Times New Roman" w:hAnsi="Times New Roman" w:cs="Times New Roman"/>
          <w:sz w:val="24"/>
          <w:szCs w:val="24"/>
        </w:rPr>
        <w:t>analogous</w:t>
      </w:r>
      <w:r w:rsidRPr="007B2A66">
        <w:rPr>
          <w:rFonts w:ascii="Times New Roman" w:hAnsi="Times New Roman" w:cs="Times New Roman"/>
          <w:sz w:val="24"/>
          <w:szCs w:val="24"/>
        </w:rPr>
        <w:t xml:space="preserve"> wage laws.  </w:t>
      </w:r>
    </w:p>
    <w:p w:rsidR="000A5301" w:rsidRDefault="00375F67" w:rsidP="000A5301">
      <w:pPr>
        <w:rPr>
          <w:rFonts w:ascii="Times New Roman" w:hAnsi="Times New Roman" w:cs="Times New Roman"/>
          <w:sz w:val="24"/>
          <w:szCs w:val="24"/>
        </w:rPr>
      </w:pPr>
      <w:r>
        <w:rPr>
          <w:rFonts w:ascii="Times New Roman" w:hAnsi="Times New Roman" w:cs="Times New Roman"/>
          <w:sz w:val="24"/>
          <w:szCs w:val="24"/>
        </w:rPr>
        <w:t>California and s</w:t>
      </w:r>
      <w:r w:rsidR="000A5301" w:rsidRPr="007B2A66">
        <w:rPr>
          <w:rFonts w:ascii="Times New Roman" w:hAnsi="Times New Roman" w:cs="Times New Roman"/>
          <w:sz w:val="24"/>
          <w:szCs w:val="24"/>
        </w:rPr>
        <w:t xml:space="preserve">ome </w:t>
      </w:r>
      <w:r>
        <w:rPr>
          <w:rFonts w:ascii="Times New Roman" w:hAnsi="Times New Roman" w:cs="Times New Roman"/>
          <w:sz w:val="24"/>
          <w:szCs w:val="24"/>
        </w:rPr>
        <w:t xml:space="preserve">other </w:t>
      </w:r>
      <w:r w:rsidR="000A5301" w:rsidRPr="007B2A66">
        <w:rPr>
          <w:rFonts w:ascii="Times New Roman" w:hAnsi="Times New Roman" w:cs="Times New Roman"/>
          <w:sz w:val="24"/>
          <w:szCs w:val="24"/>
        </w:rPr>
        <w:t xml:space="preserve">State wage legislation </w:t>
      </w:r>
      <w:r>
        <w:rPr>
          <w:rFonts w:ascii="Times New Roman" w:hAnsi="Times New Roman" w:cs="Times New Roman"/>
          <w:sz w:val="24"/>
          <w:szCs w:val="24"/>
        </w:rPr>
        <w:t>is broader</w:t>
      </w:r>
      <w:r w:rsidR="000A5301" w:rsidRPr="007B2A66">
        <w:rPr>
          <w:rFonts w:ascii="Times New Roman" w:hAnsi="Times New Roman" w:cs="Times New Roman"/>
          <w:sz w:val="24"/>
          <w:szCs w:val="24"/>
        </w:rPr>
        <w:t xml:space="preserve"> </w:t>
      </w:r>
      <w:r>
        <w:rPr>
          <w:rFonts w:ascii="Times New Roman" w:hAnsi="Times New Roman" w:cs="Times New Roman"/>
          <w:sz w:val="24"/>
          <w:szCs w:val="24"/>
        </w:rPr>
        <w:t xml:space="preserve">in scope </w:t>
      </w:r>
      <w:r w:rsidR="000A5301" w:rsidRPr="007B2A66">
        <w:rPr>
          <w:rFonts w:ascii="Times New Roman" w:hAnsi="Times New Roman" w:cs="Times New Roman"/>
          <w:sz w:val="24"/>
          <w:szCs w:val="24"/>
        </w:rPr>
        <w:t xml:space="preserve">than the FLSA.  California regulates employer wage and hour obligations through the </w:t>
      </w:r>
      <w:r>
        <w:rPr>
          <w:rFonts w:ascii="Times New Roman" w:hAnsi="Times New Roman" w:cs="Times New Roman"/>
          <w:sz w:val="24"/>
          <w:szCs w:val="24"/>
        </w:rPr>
        <w:t xml:space="preserve">California </w:t>
      </w:r>
      <w:r w:rsidR="000A5301" w:rsidRPr="007B2A66">
        <w:rPr>
          <w:rFonts w:ascii="Times New Roman" w:hAnsi="Times New Roman" w:cs="Times New Roman"/>
          <w:sz w:val="24"/>
          <w:szCs w:val="24"/>
        </w:rPr>
        <w:t xml:space="preserve">Labor Code and Wage Orders that are issued by the </w:t>
      </w:r>
      <w:r>
        <w:rPr>
          <w:rFonts w:ascii="Times New Roman" w:hAnsi="Times New Roman" w:cs="Times New Roman"/>
          <w:sz w:val="24"/>
          <w:szCs w:val="24"/>
        </w:rPr>
        <w:t xml:space="preserve">California </w:t>
      </w:r>
      <w:r w:rsidR="000A5301" w:rsidRPr="007B2A66">
        <w:rPr>
          <w:rFonts w:ascii="Times New Roman" w:hAnsi="Times New Roman" w:cs="Times New Roman"/>
          <w:sz w:val="24"/>
          <w:szCs w:val="24"/>
        </w:rPr>
        <w:t>Industrial Welfare Commission (IWC).</w:t>
      </w:r>
    </w:p>
    <w:p w:rsidR="000A5301" w:rsidRPr="007B2A66" w:rsidRDefault="00371FEE" w:rsidP="000A5301">
      <w:pPr>
        <w:rPr>
          <w:rFonts w:ascii="Times New Roman" w:hAnsi="Times New Roman" w:cs="Times New Roman"/>
          <w:b/>
          <w:sz w:val="24"/>
          <w:szCs w:val="24"/>
          <w:u w:val="single"/>
        </w:rPr>
      </w:pPr>
      <w:r w:rsidRPr="007B2A66">
        <w:rPr>
          <w:rFonts w:ascii="Times New Roman" w:hAnsi="Times New Roman" w:cs="Times New Roman"/>
          <w:b/>
          <w:sz w:val="24"/>
          <w:szCs w:val="24"/>
          <w:u w:val="single"/>
        </w:rPr>
        <w:t xml:space="preserve">Important </w:t>
      </w:r>
      <w:r w:rsidR="000A5301" w:rsidRPr="007B2A66">
        <w:rPr>
          <w:rFonts w:ascii="Times New Roman" w:hAnsi="Times New Roman" w:cs="Times New Roman"/>
          <w:b/>
          <w:sz w:val="24"/>
          <w:szCs w:val="24"/>
          <w:u w:val="single"/>
        </w:rPr>
        <w:t>Differences  Between California Wage  Laws and FLSA</w:t>
      </w:r>
    </w:p>
    <w:p w:rsidR="000A5301" w:rsidRPr="007B2A66" w:rsidRDefault="000A5301" w:rsidP="000A5301">
      <w:pPr>
        <w:rPr>
          <w:rFonts w:ascii="Times New Roman" w:hAnsi="Times New Roman" w:cs="Times New Roman"/>
          <w:sz w:val="24"/>
          <w:szCs w:val="24"/>
          <w:u w:val="single"/>
        </w:rPr>
      </w:pPr>
      <w:r w:rsidRPr="007B2A66">
        <w:rPr>
          <w:rFonts w:ascii="Times New Roman" w:hAnsi="Times New Roman" w:cs="Times New Roman"/>
          <w:sz w:val="24"/>
          <w:szCs w:val="24"/>
          <w:u w:val="single"/>
        </w:rPr>
        <w:t xml:space="preserve">Minimum </w:t>
      </w:r>
      <w:r w:rsidR="00371FEE" w:rsidRPr="007B2A66">
        <w:rPr>
          <w:rFonts w:ascii="Times New Roman" w:hAnsi="Times New Roman" w:cs="Times New Roman"/>
          <w:sz w:val="24"/>
          <w:szCs w:val="24"/>
          <w:u w:val="single"/>
        </w:rPr>
        <w:t>w</w:t>
      </w:r>
      <w:r w:rsidRPr="007B2A66">
        <w:rPr>
          <w:rFonts w:ascii="Times New Roman" w:hAnsi="Times New Roman" w:cs="Times New Roman"/>
          <w:sz w:val="24"/>
          <w:szCs w:val="24"/>
          <w:u w:val="single"/>
        </w:rPr>
        <w:t>age</w:t>
      </w:r>
    </w:p>
    <w:p w:rsidR="00371FEE" w:rsidRPr="007B2A66" w:rsidRDefault="00371FEE" w:rsidP="000A5301">
      <w:pPr>
        <w:rPr>
          <w:rFonts w:ascii="Times New Roman" w:hAnsi="Times New Roman" w:cs="Times New Roman"/>
          <w:sz w:val="24"/>
          <w:szCs w:val="24"/>
        </w:rPr>
      </w:pPr>
      <w:r w:rsidRPr="007B2A66">
        <w:rPr>
          <w:rFonts w:ascii="Times New Roman" w:hAnsi="Times New Roman" w:cs="Times New Roman"/>
          <w:sz w:val="24"/>
          <w:szCs w:val="24"/>
        </w:rPr>
        <w:tab/>
        <w:t>CA: $8.00/hour</w:t>
      </w:r>
    </w:p>
    <w:p w:rsidR="00371FEE" w:rsidRPr="007B2A66" w:rsidRDefault="00371FEE" w:rsidP="000A5301">
      <w:pPr>
        <w:rPr>
          <w:rFonts w:ascii="Times New Roman" w:hAnsi="Times New Roman" w:cs="Times New Roman"/>
          <w:sz w:val="24"/>
          <w:szCs w:val="24"/>
        </w:rPr>
      </w:pPr>
      <w:r w:rsidRPr="007B2A66">
        <w:rPr>
          <w:rFonts w:ascii="Times New Roman" w:hAnsi="Times New Roman" w:cs="Times New Roman"/>
          <w:sz w:val="24"/>
          <w:szCs w:val="24"/>
        </w:rPr>
        <w:tab/>
        <w:t>Federal: $7.25/hour</w:t>
      </w:r>
    </w:p>
    <w:p w:rsidR="000A5301" w:rsidRPr="007B2A66" w:rsidRDefault="000A5301" w:rsidP="000A5301">
      <w:pPr>
        <w:rPr>
          <w:rFonts w:ascii="Times New Roman" w:hAnsi="Times New Roman" w:cs="Times New Roman"/>
          <w:sz w:val="24"/>
          <w:szCs w:val="24"/>
          <w:u w:val="single"/>
        </w:rPr>
      </w:pPr>
      <w:r w:rsidRPr="007B2A66">
        <w:rPr>
          <w:rFonts w:ascii="Times New Roman" w:hAnsi="Times New Roman" w:cs="Times New Roman"/>
          <w:sz w:val="24"/>
          <w:szCs w:val="24"/>
          <w:u w:val="single"/>
        </w:rPr>
        <w:t xml:space="preserve">Overtime </w:t>
      </w:r>
      <w:r w:rsidR="00371FEE" w:rsidRPr="007B2A66">
        <w:rPr>
          <w:rFonts w:ascii="Times New Roman" w:hAnsi="Times New Roman" w:cs="Times New Roman"/>
          <w:sz w:val="24"/>
          <w:szCs w:val="24"/>
          <w:u w:val="single"/>
        </w:rPr>
        <w:t>p</w:t>
      </w:r>
      <w:r w:rsidRPr="007B2A66">
        <w:rPr>
          <w:rFonts w:ascii="Times New Roman" w:hAnsi="Times New Roman" w:cs="Times New Roman"/>
          <w:sz w:val="24"/>
          <w:szCs w:val="24"/>
          <w:u w:val="single"/>
        </w:rPr>
        <w:t xml:space="preserve">ay </w:t>
      </w:r>
      <w:r w:rsidR="00371FEE" w:rsidRPr="007B2A66">
        <w:rPr>
          <w:rFonts w:ascii="Times New Roman" w:hAnsi="Times New Roman" w:cs="Times New Roman"/>
          <w:sz w:val="24"/>
          <w:szCs w:val="24"/>
          <w:u w:val="single"/>
        </w:rPr>
        <w:t>for non-exempt employees</w:t>
      </w:r>
    </w:p>
    <w:p w:rsidR="00371FEE" w:rsidRPr="007B2A66" w:rsidRDefault="00371FEE" w:rsidP="00371FEE">
      <w:pPr>
        <w:ind w:left="720"/>
        <w:rPr>
          <w:rFonts w:ascii="Times New Roman" w:hAnsi="Times New Roman" w:cs="Times New Roman"/>
          <w:sz w:val="24"/>
          <w:szCs w:val="24"/>
        </w:rPr>
      </w:pPr>
      <w:r w:rsidRPr="007B2A66">
        <w:rPr>
          <w:rFonts w:ascii="Times New Roman" w:hAnsi="Times New Roman" w:cs="Times New Roman"/>
          <w:sz w:val="24"/>
          <w:szCs w:val="24"/>
        </w:rPr>
        <w:t xml:space="preserve">CA: </w:t>
      </w:r>
      <w:r w:rsidR="00375F67">
        <w:rPr>
          <w:rFonts w:ascii="Times New Roman" w:hAnsi="Times New Roman" w:cs="Times New Roman"/>
          <w:sz w:val="24"/>
          <w:szCs w:val="24"/>
        </w:rPr>
        <w:t>D</w:t>
      </w:r>
      <w:r w:rsidRPr="007B2A66">
        <w:rPr>
          <w:rFonts w:ascii="Times New Roman" w:hAnsi="Times New Roman" w:cs="Times New Roman"/>
          <w:sz w:val="24"/>
          <w:szCs w:val="24"/>
        </w:rPr>
        <w:t>aily and weekly overtime</w:t>
      </w:r>
      <w:r w:rsidR="00375F67">
        <w:rPr>
          <w:rFonts w:ascii="Times New Roman" w:hAnsi="Times New Roman" w:cs="Times New Roman"/>
          <w:sz w:val="24"/>
          <w:szCs w:val="24"/>
        </w:rPr>
        <w:t>-</w:t>
      </w:r>
      <w:r w:rsidRPr="007B2A66">
        <w:rPr>
          <w:rFonts w:ascii="Times New Roman" w:hAnsi="Times New Roman" w:cs="Times New Roman"/>
          <w:sz w:val="24"/>
          <w:szCs w:val="24"/>
        </w:rPr>
        <w:t>1.5x regular hourly rates for hours worked in excess of 8 hours in a single day or 40 hours in a workweek; 2x for all hours worked in excess of 12 hours in a single day.</w:t>
      </w:r>
    </w:p>
    <w:p w:rsidR="00371FEE" w:rsidRPr="007B2A66" w:rsidRDefault="00371FEE" w:rsidP="00371FEE">
      <w:pPr>
        <w:ind w:left="720"/>
        <w:rPr>
          <w:rFonts w:ascii="Times New Roman" w:hAnsi="Times New Roman" w:cs="Times New Roman"/>
          <w:sz w:val="24"/>
          <w:szCs w:val="24"/>
        </w:rPr>
      </w:pPr>
      <w:r w:rsidRPr="007B2A66">
        <w:rPr>
          <w:rFonts w:ascii="Times New Roman" w:hAnsi="Times New Roman" w:cs="Times New Roman"/>
          <w:sz w:val="24"/>
          <w:szCs w:val="24"/>
        </w:rPr>
        <w:t xml:space="preserve">Federal: </w:t>
      </w:r>
      <w:r w:rsidR="00375F67">
        <w:rPr>
          <w:rFonts w:ascii="Times New Roman" w:hAnsi="Times New Roman" w:cs="Times New Roman"/>
          <w:sz w:val="24"/>
          <w:szCs w:val="24"/>
        </w:rPr>
        <w:t>W</w:t>
      </w:r>
      <w:r w:rsidRPr="007B2A66">
        <w:rPr>
          <w:rFonts w:ascii="Times New Roman" w:hAnsi="Times New Roman" w:cs="Times New Roman"/>
          <w:sz w:val="24"/>
          <w:szCs w:val="24"/>
        </w:rPr>
        <w:t>eekly overtime only--1.5x regular hourly rates for hours worked in excess of 40 hours in a workweek.</w:t>
      </w:r>
    </w:p>
    <w:p w:rsidR="000A5301" w:rsidRPr="007B2A66" w:rsidRDefault="000A5301" w:rsidP="000A5301">
      <w:pPr>
        <w:rPr>
          <w:rFonts w:ascii="Times New Roman" w:hAnsi="Times New Roman" w:cs="Times New Roman"/>
          <w:sz w:val="24"/>
          <w:szCs w:val="24"/>
          <w:u w:val="single"/>
        </w:rPr>
      </w:pPr>
      <w:r w:rsidRPr="007B2A66">
        <w:rPr>
          <w:rFonts w:ascii="Times New Roman" w:hAnsi="Times New Roman" w:cs="Times New Roman"/>
          <w:sz w:val="24"/>
          <w:szCs w:val="24"/>
          <w:u w:val="single"/>
        </w:rPr>
        <w:t>Definition of exempt employee</w:t>
      </w:r>
    </w:p>
    <w:p w:rsidR="00371FEE" w:rsidRPr="007B2A66" w:rsidRDefault="00371FEE" w:rsidP="00371FEE">
      <w:pPr>
        <w:ind w:left="720"/>
        <w:rPr>
          <w:rFonts w:ascii="Times New Roman" w:hAnsi="Times New Roman" w:cs="Times New Roman"/>
          <w:sz w:val="24"/>
          <w:szCs w:val="24"/>
        </w:rPr>
      </w:pPr>
      <w:r w:rsidRPr="007B2A66">
        <w:rPr>
          <w:rFonts w:ascii="Times New Roman" w:hAnsi="Times New Roman" w:cs="Times New Roman"/>
          <w:sz w:val="24"/>
          <w:szCs w:val="24"/>
        </w:rPr>
        <w:t>CA: Employee’s exempt duties must constitute at least 50% of work time, and the employee must be compensated on a salary basis at a rate not less than $640/week [$33,280/year].</w:t>
      </w:r>
    </w:p>
    <w:p w:rsidR="00371FEE" w:rsidRDefault="00371FEE" w:rsidP="00371FEE">
      <w:pPr>
        <w:ind w:left="720"/>
        <w:rPr>
          <w:rFonts w:ascii="Times New Roman" w:hAnsi="Times New Roman" w:cs="Times New Roman"/>
          <w:sz w:val="24"/>
          <w:szCs w:val="24"/>
        </w:rPr>
      </w:pPr>
      <w:r w:rsidRPr="007B2A66">
        <w:rPr>
          <w:rFonts w:ascii="Times New Roman" w:hAnsi="Times New Roman" w:cs="Times New Roman"/>
          <w:sz w:val="24"/>
          <w:szCs w:val="24"/>
        </w:rPr>
        <w:t xml:space="preserve">Federal: Employee’s exempt duties need only constitute  </w:t>
      </w:r>
      <w:r w:rsidR="00375F67">
        <w:rPr>
          <w:rFonts w:ascii="Times New Roman" w:hAnsi="Times New Roman" w:cs="Times New Roman"/>
          <w:sz w:val="24"/>
          <w:szCs w:val="24"/>
        </w:rPr>
        <w:t>the employee’s</w:t>
      </w:r>
      <w:r w:rsidRPr="007B2A66">
        <w:rPr>
          <w:rFonts w:ascii="Times New Roman" w:hAnsi="Times New Roman" w:cs="Times New Roman"/>
          <w:sz w:val="24"/>
          <w:szCs w:val="24"/>
        </w:rPr>
        <w:t xml:space="preserve"> primary duties, and the employee must be compensated on a salary basis at a rate not less than $455/week [$23,660/year].</w:t>
      </w:r>
    </w:p>
    <w:p w:rsidR="00FE5448" w:rsidRPr="007B2A66" w:rsidRDefault="00FE5448" w:rsidP="00371FEE">
      <w:pPr>
        <w:ind w:left="720"/>
        <w:rPr>
          <w:rFonts w:ascii="Times New Roman" w:hAnsi="Times New Roman" w:cs="Times New Roman"/>
          <w:sz w:val="24"/>
          <w:szCs w:val="24"/>
        </w:rPr>
      </w:pPr>
    </w:p>
    <w:p w:rsidR="00371FEE" w:rsidRPr="007B2A66" w:rsidRDefault="00371FEE" w:rsidP="00371FEE">
      <w:pPr>
        <w:rPr>
          <w:rFonts w:ascii="Times New Roman" w:hAnsi="Times New Roman" w:cs="Times New Roman"/>
          <w:sz w:val="24"/>
          <w:szCs w:val="24"/>
          <w:u w:val="single"/>
        </w:rPr>
      </w:pPr>
      <w:r w:rsidRPr="007B2A66">
        <w:rPr>
          <w:rFonts w:ascii="Times New Roman" w:hAnsi="Times New Roman" w:cs="Times New Roman"/>
          <w:sz w:val="24"/>
          <w:szCs w:val="24"/>
          <w:u w:val="single"/>
        </w:rPr>
        <w:t xml:space="preserve">Meal and rest periods </w:t>
      </w:r>
    </w:p>
    <w:p w:rsidR="00371FEE" w:rsidRPr="007B2A66" w:rsidRDefault="00371FEE" w:rsidP="00371FEE">
      <w:pPr>
        <w:ind w:left="720"/>
        <w:rPr>
          <w:rFonts w:ascii="Times New Roman" w:hAnsi="Times New Roman" w:cs="Times New Roman"/>
          <w:sz w:val="24"/>
          <w:szCs w:val="24"/>
        </w:rPr>
      </w:pPr>
      <w:r w:rsidRPr="007B2A66">
        <w:rPr>
          <w:rFonts w:ascii="Times New Roman" w:hAnsi="Times New Roman" w:cs="Times New Roman"/>
          <w:sz w:val="24"/>
          <w:szCs w:val="24"/>
        </w:rPr>
        <w:t>CA: All non-exempt employees are entitled to uncompensated meal periods of 30 minutes when working shifts of more than 5  hours and a 10-minute paid rest period for each 4  hours worked (or major fraction thereof); a second 30 minute meal period kicks in if employee’s shift exceeds 10 hours</w:t>
      </w:r>
      <w:r w:rsidR="00375F67">
        <w:rPr>
          <w:rFonts w:ascii="Times New Roman" w:hAnsi="Times New Roman" w:cs="Times New Roman"/>
          <w:sz w:val="24"/>
          <w:szCs w:val="24"/>
        </w:rPr>
        <w:t>.  The p</w:t>
      </w:r>
      <w:r w:rsidRPr="007B2A66">
        <w:rPr>
          <w:rFonts w:ascii="Times New Roman" w:hAnsi="Times New Roman" w:cs="Times New Roman"/>
          <w:sz w:val="24"/>
          <w:szCs w:val="24"/>
        </w:rPr>
        <w:t>enalty for failure to provide a mandated meal and rest period is one hour’s pay at the employee’s regular hourly rate.</w:t>
      </w:r>
    </w:p>
    <w:p w:rsidR="00371FEE" w:rsidRPr="007B2A66" w:rsidRDefault="00371FEE" w:rsidP="00375F67">
      <w:pPr>
        <w:ind w:left="720"/>
        <w:rPr>
          <w:rFonts w:ascii="Times New Roman" w:hAnsi="Times New Roman" w:cs="Times New Roman"/>
          <w:sz w:val="24"/>
          <w:szCs w:val="24"/>
        </w:rPr>
      </w:pPr>
      <w:r w:rsidRPr="007B2A66">
        <w:rPr>
          <w:rFonts w:ascii="Times New Roman" w:hAnsi="Times New Roman" w:cs="Times New Roman"/>
          <w:sz w:val="24"/>
          <w:szCs w:val="24"/>
        </w:rPr>
        <w:t>Federal: No similar requirements.</w:t>
      </w:r>
    </w:p>
    <w:p w:rsidR="00371FEE" w:rsidRPr="007B2A66" w:rsidRDefault="00371FEE" w:rsidP="00371FEE">
      <w:pPr>
        <w:rPr>
          <w:rFonts w:ascii="Times New Roman" w:hAnsi="Times New Roman" w:cs="Times New Roman"/>
          <w:sz w:val="24"/>
          <w:szCs w:val="24"/>
        </w:rPr>
      </w:pPr>
      <w:r w:rsidRPr="007B2A66">
        <w:rPr>
          <w:rFonts w:ascii="Times New Roman" w:hAnsi="Times New Roman" w:cs="Times New Roman"/>
          <w:b/>
          <w:sz w:val="24"/>
          <w:szCs w:val="24"/>
          <w:u w:val="single"/>
        </w:rPr>
        <w:t xml:space="preserve">Recent </w:t>
      </w:r>
      <w:r w:rsidR="00375F67">
        <w:rPr>
          <w:rFonts w:ascii="Times New Roman" w:hAnsi="Times New Roman" w:cs="Times New Roman"/>
          <w:b/>
          <w:sz w:val="24"/>
          <w:szCs w:val="24"/>
          <w:u w:val="single"/>
        </w:rPr>
        <w:t>Federal and California Case</w:t>
      </w:r>
      <w:r w:rsidRPr="007B2A66">
        <w:rPr>
          <w:rFonts w:ascii="Times New Roman" w:hAnsi="Times New Roman" w:cs="Times New Roman"/>
          <w:b/>
          <w:sz w:val="24"/>
          <w:szCs w:val="24"/>
          <w:u w:val="single"/>
        </w:rPr>
        <w:t>s</w:t>
      </w:r>
      <w:r w:rsidR="00375F67">
        <w:rPr>
          <w:rFonts w:ascii="Times New Roman" w:hAnsi="Times New Roman" w:cs="Times New Roman"/>
          <w:b/>
          <w:sz w:val="24"/>
          <w:szCs w:val="24"/>
          <w:u w:val="single"/>
        </w:rPr>
        <w:t xml:space="preserve"> of Note</w:t>
      </w:r>
      <w:r w:rsidRPr="007B2A66">
        <w:rPr>
          <w:rFonts w:ascii="Times New Roman" w:hAnsi="Times New Roman" w:cs="Times New Roman"/>
          <w:sz w:val="24"/>
          <w:szCs w:val="24"/>
        </w:rPr>
        <w:t xml:space="preserve"> </w:t>
      </w:r>
    </w:p>
    <w:p w:rsidR="00371FEE" w:rsidRDefault="000A5301" w:rsidP="00371FEE">
      <w:pPr>
        <w:rPr>
          <w:rFonts w:ascii="Times New Roman" w:hAnsi="Times New Roman" w:cs="Times New Roman"/>
          <w:sz w:val="24"/>
          <w:szCs w:val="24"/>
        </w:rPr>
      </w:pPr>
      <w:r w:rsidRPr="00375F67">
        <w:rPr>
          <w:rFonts w:ascii="Times New Roman" w:hAnsi="Times New Roman" w:cs="Times New Roman"/>
          <w:i/>
          <w:sz w:val="24"/>
          <w:szCs w:val="24"/>
        </w:rPr>
        <w:t>Christopher v. SmithKline Beecha</w:t>
      </w:r>
      <w:r w:rsidR="00371FEE" w:rsidRPr="00375F67">
        <w:rPr>
          <w:rFonts w:ascii="Times New Roman" w:hAnsi="Times New Roman" w:cs="Times New Roman"/>
          <w:i/>
          <w:sz w:val="24"/>
          <w:szCs w:val="24"/>
        </w:rPr>
        <w:t>m</w:t>
      </w:r>
      <w:r w:rsidR="00375F67" w:rsidRPr="00461E6B">
        <w:rPr>
          <w:rFonts w:ascii="Times New Roman" w:hAnsi="Times New Roman" w:cs="Times New Roman"/>
          <w:sz w:val="24"/>
          <w:szCs w:val="24"/>
        </w:rPr>
        <w:t xml:space="preserve">, </w:t>
      </w:r>
      <w:r w:rsidR="00461E6B" w:rsidRPr="00461E6B">
        <w:rPr>
          <w:rFonts w:ascii="Times New Roman" w:hAnsi="Times New Roman" w:cs="Times New Roman"/>
          <w:sz w:val="24"/>
          <w:szCs w:val="24"/>
        </w:rPr>
        <w:t>123 S.Ct. 2156</w:t>
      </w:r>
      <w:r w:rsidR="00461E6B" w:rsidRPr="00461E6B">
        <w:t xml:space="preserve"> </w:t>
      </w:r>
      <w:r w:rsidR="00461E6B">
        <w:t>(</w:t>
      </w:r>
      <w:r w:rsidR="00FE5448">
        <w:rPr>
          <w:rFonts w:ascii="Times New Roman" w:hAnsi="Times New Roman" w:cs="Times New Roman"/>
          <w:sz w:val="24"/>
          <w:szCs w:val="24"/>
        </w:rPr>
        <w:t>20</w:t>
      </w:r>
      <w:r w:rsidR="00461E6B" w:rsidRPr="00461E6B">
        <w:rPr>
          <w:rFonts w:ascii="Times New Roman" w:hAnsi="Times New Roman" w:cs="Times New Roman"/>
          <w:sz w:val="24"/>
          <w:szCs w:val="24"/>
        </w:rPr>
        <w:t>12)</w:t>
      </w:r>
      <w:r w:rsidRPr="00461E6B">
        <w:rPr>
          <w:rFonts w:ascii="Times New Roman" w:hAnsi="Times New Roman" w:cs="Times New Roman"/>
          <w:sz w:val="24"/>
          <w:szCs w:val="24"/>
        </w:rPr>
        <w:t>:</w:t>
      </w:r>
      <w:r w:rsidRPr="007B2A66">
        <w:rPr>
          <w:rFonts w:ascii="Times New Roman" w:hAnsi="Times New Roman" w:cs="Times New Roman"/>
          <w:sz w:val="24"/>
          <w:szCs w:val="24"/>
        </w:rPr>
        <w:t xml:space="preserve"> U</w:t>
      </w:r>
      <w:r w:rsidR="00371FEE" w:rsidRPr="007B2A66">
        <w:rPr>
          <w:rFonts w:ascii="Times New Roman" w:hAnsi="Times New Roman" w:cs="Times New Roman"/>
          <w:sz w:val="24"/>
          <w:szCs w:val="24"/>
        </w:rPr>
        <w:t>.</w:t>
      </w:r>
      <w:r w:rsidRPr="007B2A66">
        <w:rPr>
          <w:rFonts w:ascii="Times New Roman" w:hAnsi="Times New Roman" w:cs="Times New Roman"/>
          <w:sz w:val="24"/>
          <w:szCs w:val="24"/>
        </w:rPr>
        <w:t>S</w:t>
      </w:r>
      <w:r w:rsidR="00371FEE" w:rsidRPr="007B2A66">
        <w:rPr>
          <w:rFonts w:ascii="Times New Roman" w:hAnsi="Times New Roman" w:cs="Times New Roman"/>
          <w:sz w:val="24"/>
          <w:szCs w:val="24"/>
        </w:rPr>
        <w:t>.</w:t>
      </w:r>
      <w:r w:rsidRPr="007B2A66">
        <w:rPr>
          <w:rFonts w:ascii="Times New Roman" w:hAnsi="Times New Roman" w:cs="Times New Roman"/>
          <w:sz w:val="24"/>
          <w:szCs w:val="24"/>
        </w:rPr>
        <w:t xml:space="preserve"> Supreme Court h</w:t>
      </w:r>
      <w:r w:rsidR="005919A4" w:rsidRPr="007B2A66">
        <w:rPr>
          <w:rFonts w:ascii="Times New Roman" w:hAnsi="Times New Roman" w:cs="Times New Roman"/>
          <w:sz w:val="24"/>
          <w:szCs w:val="24"/>
        </w:rPr>
        <w:t>eld</w:t>
      </w:r>
      <w:r w:rsidRPr="007B2A66">
        <w:rPr>
          <w:rFonts w:ascii="Times New Roman" w:hAnsi="Times New Roman" w:cs="Times New Roman"/>
          <w:sz w:val="24"/>
          <w:szCs w:val="24"/>
        </w:rPr>
        <w:t xml:space="preserve"> </w:t>
      </w:r>
      <w:r w:rsidR="00371FEE" w:rsidRPr="007B2A66">
        <w:rPr>
          <w:rFonts w:ascii="Times New Roman" w:hAnsi="Times New Roman" w:cs="Times New Roman"/>
          <w:sz w:val="24"/>
          <w:szCs w:val="24"/>
        </w:rPr>
        <w:t>that p</w:t>
      </w:r>
      <w:r w:rsidRPr="007B2A66">
        <w:rPr>
          <w:rFonts w:ascii="Times New Roman" w:hAnsi="Times New Roman" w:cs="Times New Roman"/>
          <w:sz w:val="24"/>
          <w:szCs w:val="24"/>
        </w:rPr>
        <w:t xml:space="preserve">harmaceutical </w:t>
      </w:r>
      <w:r w:rsidR="00371FEE" w:rsidRPr="007B2A66">
        <w:rPr>
          <w:rFonts w:ascii="Times New Roman" w:hAnsi="Times New Roman" w:cs="Times New Roman"/>
          <w:sz w:val="24"/>
          <w:szCs w:val="24"/>
        </w:rPr>
        <w:t>s</w:t>
      </w:r>
      <w:r w:rsidRPr="007B2A66">
        <w:rPr>
          <w:rFonts w:ascii="Times New Roman" w:hAnsi="Times New Roman" w:cs="Times New Roman"/>
          <w:sz w:val="24"/>
          <w:szCs w:val="24"/>
        </w:rPr>
        <w:t xml:space="preserve">ales </w:t>
      </w:r>
      <w:r w:rsidR="00371FEE" w:rsidRPr="007B2A66">
        <w:rPr>
          <w:rFonts w:ascii="Times New Roman" w:hAnsi="Times New Roman" w:cs="Times New Roman"/>
          <w:sz w:val="24"/>
          <w:szCs w:val="24"/>
        </w:rPr>
        <w:t>r</w:t>
      </w:r>
      <w:r w:rsidRPr="007B2A66">
        <w:rPr>
          <w:rFonts w:ascii="Times New Roman" w:hAnsi="Times New Roman" w:cs="Times New Roman"/>
          <w:sz w:val="24"/>
          <w:szCs w:val="24"/>
        </w:rPr>
        <w:t>ep</w:t>
      </w:r>
      <w:r w:rsidR="00371FEE" w:rsidRPr="007B2A66">
        <w:rPr>
          <w:rFonts w:ascii="Times New Roman" w:hAnsi="Times New Roman" w:cs="Times New Roman"/>
          <w:sz w:val="24"/>
          <w:szCs w:val="24"/>
        </w:rPr>
        <w:t>resentatives</w:t>
      </w:r>
      <w:r w:rsidRPr="007B2A66">
        <w:rPr>
          <w:rFonts w:ascii="Times New Roman" w:hAnsi="Times New Roman" w:cs="Times New Roman"/>
          <w:sz w:val="24"/>
          <w:szCs w:val="24"/>
        </w:rPr>
        <w:t xml:space="preserve"> are exempt outside sales employees</w:t>
      </w:r>
      <w:r w:rsidR="00371FEE" w:rsidRPr="007B2A66">
        <w:rPr>
          <w:rFonts w:ascii="Times New Roman" w:hAnsi="Times New Roman" w:cs="Times New Roman"/>
          <w:sz w:val="24"/>
          <w:szCs w:val="24"/>
        </w:rPr>
        <w:t>.</w:t>
      </w:r>
      <w:r w:rsidRPr="007B2A66">
        <w:rPr>
          <w:rFonts w:ascii="Times New Roman" w:hAnsi="Times New Roman" w:cs="Times New Roman"/>
          <w:sz w:val="24"/>
          <w:szCs w:val="24"/>
        </w:rPr>
        <w:t xml:space="preserve"> </w:t>
      </w:r>
    </w:p>
    <w:p w:rsidR="00461E6B" w:rsidRDefault="00375F67" w:rsidP="00375F67">
      <w:pPr>
        <w:rPr>
          <w:rFonts w:ascii="Times New Roman" w:hAnsi="Times New Roman" w:cs="Times New Roman"/>
          <w:sz w:val="24"/>
          <w:szCs w:val="24"/>
        </w:rPr>
      </w:pPr>
      <w:r w:rsidRPr="00375F67">
        <w:rPr>
          <w:rFonts w:ascii="Times New Roman" w:hAnsi="Times New Roman" w:cs="Times New Roman"/>
          <w:i/>
          <w:sz w:val="24"/>
          <w:szCs w:val="24"/>
        </w:rPr>
        <w:t>Campbell v. PricewaterhouseCoopers</w:t>
      </w:r>
      <w:r w:rsidR="00461E6B">
        <w:rPr>
          <w:rFonts w:ascii="Times New Roman" w:hAnsi="Times New Roman" w:cs="Times New Roman"/>
          <w:sz w:val="24"/>
          <w:szCs w:val="24"/>
        </w:rPr>
        <w:t xml:space="preserve">, </w:t>
      </w:r>
      <w:r w:rsidR="00461E6B" w:rsidRPr="00461E6B">
        <w:rPr>
          <w:rFonts w:ascii="Times New Roman" w:hAnsi="Times New Roman" w:cs="Times New Roman"/>
          <w:sz w:val="24"/>
          <w:szCs w:val="24"/>
        </w:rPr>
        <w:t>642 F.3d 820</w:t>
      </w:r>
      <w:r>
        <w:rPr>
          <w:rFonts w:ascii="Times New Roman" w:hAnsi="Times New Roman" w:cs="Times New Roman"/>
          <w:sz w:val="24"/>
          <w:szCs w:val="24"/>
        </w:rPr>
        <w:t xml:space="preserve"> </w:t>
      </w:r>
      <w:r w:rsidR="00461E6B">
        <w:rPr>
          <w:rFonts w:ascii="Times New Roman" w:hAnsi="Times New Roman" w:cs="Times New Roman"/>
          <w:sz w:val="24"/>
          <w:szCs w:val="24"/>
        </w:rPr>
        <w:t>(9</w:t>
      </w:r>
      <w:r w:rsidR="00461E6B" w:rsidRPr="00461E6B">
        <w:rPr>
          <w:rFonts w:ascii="Times New Roman" w:hAnsi="Times New Roman" w:cs="Times New Roman"/>
          <w:sz w:val="24"/>
          <w:szCs w:val="24"/>
          <w:vertAlign w:val="superscript"/>
        </w:rPr>
        <w:t>th</w:t>
      </w:r>
      <w:r w:rsidR="00461E6B">
        <w:rPr>
          <w:rFonts w:ascii="Times New Roman" w:hAnsi="Times New Roman" w:cs="Times New Roman"/>
          <w:sz w:val="24"/>
          <w:szCs w:val="24"/>
        </w:rPr>
        <w:t xml:space="preserve"> Cir. 2011): </w:t>
      </w:r>
      <w:r w:rsidRPr="007B2A66">
        <w:rPr>
          <w:rFonts w:ascii="Times New Roman" w:hAnsi="Times New Roman" w:cs="Times New Roman"/>
          <w:sz w:val="24"/>
          <w:szCs w:val="24"/>
        </w:rPr>
        <w:t xml:space="preserve">Applying California law, the </w:t>
      </w:r>
      <w:r>
        <w:rPr>
          <w:rFonts w:ascii="Times New Roman" w:hAnsi="Times New Roman" w:cs="Times New Roman"/>
          <w:sz w:val="24"/>
          <w:szCs w:val="24"/>
        </w:rPr>
        <w:t xml:space="preserve">U.S. Ninth Circuit </w:t>
      </w:r>
      <w:r w:rsidRPr="007B2A66">
        <w:rPr>
          <w:rFonts w:ascii="Times New Roman" w:hAnsi="Times New Roman" w:cs="Times New Roman"/>
          <w:sz w:val="24"/>
          <w:szCs w:val="24"/>
        </w:rPr>
        <w:t xml:space="preserve">Court of Appeals considered held that junior accountants not licensed by the State of California who perform auditing work were properly classified as exempt employees not entitled to overtime pay under California’s professional or administrative exemption. </w:t>
      </w:r>
    </w:p>
    <w:p w:rsidR="00375F67" w:rsidRPr="007B2A66" w:rsidRDefault="00461E6B" w:rsidP="00375F67">
      <w:pPr>
        <w:rPr>
          <w:rFonts w:ascii="Times New Roman" w:hAnsi="Times New Roman" w:cs="Times New Roman"/>
          <w:sz w:val="24"/>
          <w:szCs w:val="24"/>
        </w:rPr>
      </w:pPr>
      <w:r w:rsidRPr="00461E6B">
        <w:rPr>
          <w:rFonts w:ascii="Times New Roman" w:hAnsi="Times New Roman" w:cs="Times New Roman"/>
          <w:i/>
          <w:sz w:val="24"/>
          <w:szCs w:val="24"/>
        </w:rPr>
        <w:t>Brinker Restaurant Corp. v. Superior Court,</w:t>
      </w:r>
      <w:r>
        <w:rPr>
          <w:rFonts w:ascii="Times New Roman" w:hAnsi="Times New Roman" w:cs="Times New Roman"/>
          <w:i/>
          <w:sz w:val="24"/>
          <w:szCs w:val="24"/>
        </w:rPr>
        <w:t xml:space="preserve"> </w:t>
      </w:r>
      <w:r w:rsidRPr="00461E6B">
        <w:rPr>
          <w:rFonts w:ascii="Times New Roman" w:hAnsi="Times New Roman" w:cs="Times New Roman"/>
          <w:sz w:val="24"/>
          <w:szCs w:val="24"/>
        </w:rPr>
        <w:t>53 Cal.4th 1004</w:t>
      </w:r>
      <w:r w:rsidR="00FE5448">
        <w:rPr>
          <w:rFonts w:ascii="Times New Roman" w:hAnsi="Times New Roman" w:cs="Times New Roman"/>
          <w:sz w:val="24"/>
          <w:szCs w:val="24"/>
        </w:rPr>
        <w:t xml:space="preserve"> </w:t>
      </w:r>
      <w:r w:rsidRPr="00461E6B">
        <w:rPr>
          <w:rFonts w:ascii="Times New Roman" w:hAnsi="Times New Roman" w:cs="Times New Roman"/>
          <w:sz w:val="24"/>
          <w:szCs w:val="24"/>
        </w:rPr>
        <w:t>(</w:t>
      </w:r>
      <w:r w:rsidR="00FE5448">
        <w:rPr>
          <w:rFonts w:ascii="Times New Roman" w:hAnsi="Times New Roman" w:cs="Times New Roman"/>
          <w:sz w:val="24"/>
          <w:szCs w:val="24"/>
        </w:rPr>
        <w:t>2012</w:t>
      </w:r>
      <w:r w:rsidRPr="00461E6B">
        <w:rPr>
          <w:rFonts w:ascii="Times New Roman" w:hAnsi="Times New Roman" w:cs="Times New Roman"/>
          <w:sz w:val="24"/>
          <w:szCs w:val="24"/>
        </w:rPr>
        <w:t>)</w:t>
      </w:r>
      <w:r w:rsidR="00375F67" w:rsidRPr="00461E6B">
        <w:rPr>
          <w:rFonts w:ascii="Times New Roman" w:hAnsi="Times New Roman" w:cs="Times New Roman"/>
          <w:sz w:val="24"/>
          <w:szCs w:val="24"/>
        </w:rPr>
        <w:t>:</w:t>
      </w:r>
      <w:r w:rsidR="00375F67">
        <w:rPr>
          <w:rFonts w:ascii="Times New Roman" w:hAnsi="Times New Roman" w:cs="Times New Roman"/>
          <w:sz w:val="24"/>
          <w:szCs w:val="24"/>
        </w:rPr>
        <w:t xml:space="preserve"> </w:t>
      </w:r>
      <w:r w:rsidR="00375F67" w:rsidRPr="007B2A66">
        <w:rPr>
          <w:rFonts w:ascii="Times New Roman" w:hAnsi="Times New Roman" w:cs="Times New Roman"/>
          <w:sz w:val="24"/>
          <w:szCs w:val="24"/>
        </w:rPr>
        <w:t xml:space="preserve">California Supreme Court ruled that to comply with State’s meal period law, employers must provide a 30-minute uninterrupted meal period no later than the end of the employee’s 5th hour of work by relieving </w:t>
      </w:r>
      <w:r w:rsidR="00375F67">
        <w:rPr>
          <w:rFonts w:ascii="Times New Roman" w:hAnsi="Times New Roman" w:cs="Times New Roman"/>
          <w:sz w:val="24"/>
          <w:szCs w:val="24"/>
        </w:rPr>
        <w:t xml:space="preserve">the </w:t>
      </w:r>
      <w:r w:rsidR="00375F67" w:rsidRPr="007B2A66">
        <w:rPr>
          <w:rFonts w:ascii="Times New Roman" w:hAnsi="Times New Roman" w:cs="Times New Roman"/>
          <w:sz w:val="24"/>
          <w:szCs w:val="24"/>
        </w:rPr>
        <w:t>employee “of all duty</w:t>
      </w:r>
      <w:r w:rsidR="00375F67">
        <w:rPr>
          <w:rFonts w:ascii="Times New Roman" w:hAnsi="Times New Roman" w:cs="Times New Roman"/>
          <w:sz w:val="24"/>
          <w:szCs w:val="24"/>
        </w:rPr>
        <w:t>”</w:t>
      </w:r>
      <w:r w:rsidR="00375F67" w:rsidRPr="007B2A66">
        <w:rPr>
          <w:rFonts w:ascii="Times New Roman" w:hAnsi="Times New Roman" w:cs="Times New Roman"/>
          <w:sz w:val="24"/>
          <w:szCs w:val="24"/>
        </w:rPr>
        <w:t xml:space="preserve"> </w:t>
      </w:r>
      <w:r w:rsidR="00375F67">
        <w:rPr>
          <w:rFonts w:ascii="Times New Roman" w:hAnsi="Times New Roman" w:cs="Times New Roman"/>
          <w:sz w:val="24"/>
          <w:szCs w:val="24"/>
        </w:rPr>
        <w:t>during</w:t>
      </w:r>
      <w:r w:rsidR="00375F67" w:rsidRPr="007B2A66">
        <w:rPr>
          <w:rFonts w:ascii="Times New Roman" w:hAnsi="Times New Roman" w:cs="Times New Roman"/>
          <w:sz w:val="24"/>
          <w:szCs w:val="24"/>
        </w:rPr>
        <w:t xml:space="preserve"> the </w:t>
      </w:r>
      <w:r w:rsidR="00375F67">
        <w:rPr>
          <w:rFonts w:ascii="Times New Roman" w:hAnsi="Times New Roman" w:cs="Times New Roman"/>
          <w:sz w:val="24"/>
          <w:szCs w:val="24"/>
        </w:rPr>
        <w:t>meal</w:t>
      </w:r>
      <w:r w:rsidR="00375F67" w:rsidRPr="007B2A66">
        <w:rPr>
          <w:rFonts w:ascii="Times New Roman" w:hAnsi="Times New Roman" w:cs="Times New Roman"/>
          <w:sz w:val="24"/>
          <w:szCs w:val="24"/>
        </w:rPr>
        <w:t xml:space="preserve"> period,  but that employers do not have to force employees to use their meal periods</w:t>
      </w:r>
      <w:r w:rsidR="00375F67">
        <w:rPr>
          <w:rFonts w:ascii="Times New Roman" w:hAnsi="Times New Roman" w:cs="Times New Roman"/>
          <w:sz w:val="24"/>
          <w:szCs w:val="24"/>
        </w:rPr>
        <w:t xml:space="preserve">. </w:t>
      </w:r>
    </w:p>
    <w:p w:rsidR="00FE5448" w:rsidRDefault="00371FEE" w:rsidP="00371FEE">
      <w:r w:rsidRPr="00375F67">
        <w:rPr>
          <w:rFonts w:ascii="Times New Roman" w:hAnsi="Times New Roman" w:cs="Times New Roman"/>
          <w:i/>
          <w:sz w:val="24"/>
          <w:szCs w:val="24"/>
        </w:rPr>
        <w:t>Harris v. Superior Court (Liberty Mutual Ins. Co</w:t>
      </w:r>
      <w:r w:rsidRPr="00375F67">
        <w:rPr>
          <w:rFonts w:ascii="Times New Roman" w:hAnsi="Times New Roman" w:cs="Times New Roman"/>
          <w:sz w:val="24"/>
          <w:szCs w:val="24"/>
        </w:rPr>
        <w:t>.)</w:t>
      </w:r>
      <w:r w:rsidR="00461E6B">
        <w:rPr>
          <w:rFonts w:ascii="Times New Roman" w:hAnsi="Times New Roman" w:cs="Times New Roman"/>
          <w:sz w:val="24"/>
          <w:szCs w:val="24"/>
        </w:rPr>
        <w:t>, __ Cal. App. 4</w:t>
      </w:r>
      <w:r w:rsidR="00461E6B" w:rsidRPr="00461E6B">
        <w:rPr>
          <w:rFonts w:ascii="Times New Roman" w:hAnsi="Times New Roman" w:cs="Times New Roman"/>
          <w:sz w:val="24"/>
          <w:szCs w:val="24"/>
          <w:vertAlign w:val="superscript"/>
        </w:rPr>
        <w:t>th</w:t>
      </w:r>
      <w:r w:rsidR="00461E6B">
        <w:rPr>
          <w:rFonts w:ascii="Times New Roman" w:hAnsi="Times New Roman" w:cs="Times New Roman"/>
          <w:sz w:val="24"/>
          <w:szCs w:val="24"/>
        </w:rPr>
        <w:t xml:space="preserve"> __ </w:t>
      </w:r>
      <w:r w:rsidR="00461E6B" w:rsidRPr="00461E6B">
        <w:rPr>
          <w:rFonts w:ascii="Times New Roman" w:hAnsi="Times New Roman" w:cs="Times New Roman"/>
          <w:sz w:val="24"/>
          <w:szCs w:val="24"/>
        </w:rPr>
        <w:t>(</w:t>
      </w:r>
      <w:r w:rsidR="00FE5448">
        <w:rPr>
          <w:rFonts w:ascii="Times New Roman" w:hAnsi="Times New Roman" w:cs="Times New Roman"/>
          <w:sz w:val="24"/>
          <w:szCs w:val="24"/>
        </w:rPr>
        <w:t>20</w:t>
      </w:r>
      <w:r w:rsidR="00461E6B" w:rsidRPr="00461E6B">
        <w:rPr>
          <w:rFonts w:ascii="Times New Roman" w:hAnsi="Times New Roman" w:cs="Times New Roman"/>
          <w:sz w:val="24"/>
          <w:szCs w:val="24"/>
        </w:rPr>
        <w:t>12)</w:t>
      </w:r>
      <w:r w:rsidR="00461E6B">
        <w:rPr>
          <w:rFonts w:ascii="Times New Roman" w:hAnsi="Times New Roman" w:cs="Times New Roman"/>
          <w:sz w:val="24"/>
          <w:szCs w:val="24"/>
        </w:rPr>
        <w:t xml:space="preserve"> </w:t>
      </w:r>
      <w:r w:rsidRPr="00375F67">
        <w:rPr>
          <w:rFonts w:ascii="Times New Roman" w:hAnsi="Times New Roman" w:cs="Times New Roman"/>
          <w:sz w:val="24"/>
          <w:szCs w:val="24"/>
        </w:rPr>
        <w:t>:</w:t>
      </w:r>
      <w:r w:rsidR="00375F67">
        <w:rPr>
          <w:rFonts w:ascii="Times New Roman" w:hAnsi="Times New Roman" w:cs="Times New Roman"/>
          <w:sz w:val="24"/>
          <w:szCs w:val="24"/>
        </w:rPr>
        <w:t xml:space="preserve"> </w:t>
      </w:r>
      <w:r w:rsidRPr="007B2A66">
        <w:rPr>
          <w:rFonts w:ascii="Times New Roman" w:hAnsi="Times New Roman" w:cs="Times New Roman"/>
          <w:sz w:val="24"/>
          <w:szCs w:val="24"/>
        </w:rPr>
        <w:t>On remand from the California Supreme Court, a California Court of Appeal again held that insurance claims adjusters do not qualify for the administrative exemption from overtime pay requirements.</w:t>
      </w:r>
      <w:r w:rsidR="00375F67" w:rsidRPr="00375F67">
        <w:t xml:space="preserve"> </w:t>
      </w:r>
    </w:p>
    <w:p w:rsidR="00371FEE" w:rsidRPr="007B2A66" w:rsidRDefault="00371FEE" w:rsidP="00371FEE">
      <w:pPr>
        <w:rPr>
          <w:rFonts w:ascii="Times New Roman" w:hAnsi="Times New Roman" w:cs="Times New Roman"/>
          <w:sz w:val="24"/>
          <w:szCs w:val="24"/>
        </w:rPr>
      </w:pPr>
      <w:r w:rsidRPr="00375F67">
        <w:rPr>
          <w:rFonts w:ascii="Times New Roman" w:hAnsi="Times New Roman" w:cs="Times New Roman"/>
          <w:i/>
          <w:sz w:val="24"/>
          <w:szCs w:val="24"/>
        </w:rPr>
        <w:t>Arnold v. Mutual of Omaha Ins</w:t>
      </w:r>
      <w:r w:rsidR="00FE5448">
        <w:rPr>
          <w:rFonts w:ascii="Times New Roman" w:hAnsi="Times New Roman" w:cs="Times New Roman"/>
          <w:i/>
          <w:sz w:val="24"/>
          <w:szCs w:val="24"/>
        </w:rPr>
        <w:t>.,</w:t>
      </w:r>
      <w:r w:rsidR="00FE5448" w:rsidRPr="00FE5448">
        <w:t xml:space="preserve"> </w:t>
      </w:r>
      <w:r w:rsidR="00FE5448" w:rsidRPr="00FE5448">
        <w:rPr>
          <w:rFonts w:ascii="Times New Roman" w:hAnsi="Times New Roman" w:cs="Times New Roman"/>
          <w:sz w:val="24"/>
          <w:szCs w:val="24"/>
        </w:rPr>
        <w:t>202 Cal.App.4th 580 (2011)</w:t>
      </w:r>
      <w:r w:rsidR="00375F67" w:rsidRPr="00FE5448">
        <w:rPr>
          <w:rFonts w:ascii="Times New Roman" w:hAnsi="Times New Roman" w:cs="Times New Roman"/>
          <w:sz w:val="24"/>
          <w:szCs w:val="24"/>
        </w:rPr>
        <w:t>:</w:t>
      </w:r>
      <w:r w:rsidR="00375F67">
        <w:rPr>
          <w:rFonts w:ascii="Times New Roman" w:hAnsi="Times New Roman" w:cs="Times New Roman"/>
          <w:i/>
          <w:sz w:val="24"/>
          <w:szCs w:val="24"/>
        </w:rPr>
        <w:t xml:space="preserve"> </w:t>
      </w:r>
      <w:r w:rsidRPr="007B2A66">
        <w:rPr>
          <w:rFonts w:ascii="Times New Roman" w:hAnsi="Times New Roman" w:cs="Times New Roman"/>
          <w:sz w:val="24"/>
          <w:szCs w:val="24"/>
        </w:rPr>
        <w:t xml:space="preserve">California Court of Appeal determined that a nonexclusive insurance agent was not an employee entitled to the protections of the California Labor Code and wage laws, but rather an independent contractor. </w:t>
      </w:r>
    </w:p>
    <w:p w:rsidR="005919A4" w:rsidRPr="007B2A66" w:rsidRDefault="005919A4" w:rsidP="005919A4">
      <w:pPr>
        <w:rPr>
          <w:rFonts w:ascii="Times New Roman" w:hAnsi="Times New Roman" w:cs="Times New Roman"/>
          <w:b/>
          <w:sz w:val="32"/>
          <w:szCs w:val="32"/>
          <w:u w:val="single"/>
        </w:rPr>
      </w:pPr>
      <w:r w:rsidRPr="007B2A66">
        <w:rPr>
          <w:rFonts w:ascii="Times New Roman" w:hAnsi="Times New Roman" w:cs="Times New Roman"/>
          <w:b/>
          <w:sz w:val="32"/>
          <w:szCs w:val="32"/>
        </w:rPr>
        <w:t>2.</w:t>
      </w:r>
      <w:r w:rsidRPr="007B2A66">
        <w:rPr>
          <w:rFonts w:ascii="Times New Roman" w:hAnsi="Times New Roman" w:cs="Times New Roman"/>
          <w:b/>
          <w:sz w:val="32"/>
          <w:szCs w:val="32"/>
        </w:rPr>
        <w:tab/>
      </w:r>
      <w:r w:rsidRPr="007B2A66">
        <w:rPr>
          <w:rFonts w:ascii="Times New Roman" w:hAnsi="Times New Roman" w:cs="Times New Roman"/>
          <w:b/>
          <w:sz w:val="32"/>
          <w:szCs w:val="32"/>
          <w:u w:val="single"/>
        </w:rPr>
        <w:t xml:space="preserve">EMPLOYMENT ARBITRATION  AGREEMENTS </w:t>
      </w:r>
    </w:p>
    <w:p w:rsidR="00FE5448" w:rsidRDefault="007B2A66" w:rsidP="007B2A66">
      <w:pPr>
        <w:rPr>
          <w:rFonts w:ascii="Times New Roman" w:hAnsi="Times New Roman" w:cs="Times New Roman"/>
          <w:sz w:val="24"/>
          <w:szCs w:val="24"/>
        </w:rPr>
      </w:pPr>
      <w:r>
        <w:rPr>
          <w:rFonts w:ascii="Times New Roman" w:hAnsi="Times New Roman" w:cs="Times New Roman"/>
          <w:sz w:val="24"/>
          <w:szCs w:val="24"/>
        </w:rPr>
        <w:t>Due to t</w:t>
      </w:r>
      <w:r w:rsidRPr="007B2A66">
        <w:rPr>
          <w:rFonts w:ascii="Times New Roman" w:hAnsi="Times New Roman" w:cs="Times New Roman"/>
          <w:sz w:val="24"/>
          <w:szCs w:val="24"/>
        </w:rPr>
        <w:t>he risk of litigating employee claims before juries</w:t>
      </w:r>
      <w:r>
        <w:rPr>
          <w:rFonts w:ascii="Times New Roman" w:hAnsi="Times New Roman" w:cs="Times New Roman"/>
          <w:sz w:val="24"/>
          <w:szCs w:val="24"/>
        </w:rPr>
        <w:t>, i</w:t>
      </w:r>
      <w:r w:rsidRPr="007B2A66">
        <w:rPr>
          <w:rFonts w:ascii="Times New Roman" w:hAnsi="Times New Roman" w:cs="Times New Roman"/>
          <w:sz w:val="24"/>
          <w:szCs w:val="24"/>
        </w:rPr>
        <w:t xml:space="preserve">t has become a common practice for employers to include an employment arbitration agreement </w:t>
      </w:r>
      <w:r>
        <w:rPr>
          <w:rFonts w:ascii="Times New Roman" w:hAnsi="Times New Roman" w:cs="Times New Roman"/>
          <w:sz w:val="24"/>
          <w:szCs w:val="24"/>
        </w:rPr>
        <w:t xml:space="preserve">as a condition of employment.  </w:t>
      </w:r>
      <w:r w:rsidRPr="007B2A66">
        <w:rPr>
          <w:rFonts w:ascii="Times New Roman" w:hAnsi="Times New Roman" w:cs="Times New Roman"/>
          <w:sz w:val="24"/>
          <w:szCs w:val="24"/>
        </w:rPr>
        <w:t>A mand</w:t>
      </w:r>
      <w:r w:rsidR="00FE5448">
        <w:rPr>
          <w:rFonts w:ascii="Times New Roman" w:hAnsi="Times New Roman" w:cs="Times New Roman"/>
          <w:sz w:val="24"/>
          <w:szCs w:val="24"/>
        </w:rPr>
        <w:t xml:space="preserve">atory arbitration agreement is </w:t>
      </w:r>
      <w:r w:rsidRPr="007B2A66">
        <w:rPr>
          <w:rFonts w:ascii="Times New Roman" w:hAnsi="Times New Roman" w:cs="Times New Roman"/>
          <w:sz w:val="24"/>
          <w:szCs w:val="24"/>
        </w:rPr>
        <w:t>a prospective agreement between employer and employee to resolve future employment disputes by binding arbitration.</w:t>
      </w:r>
      <w:r>
        <w:rPr>
          <w:rFonts w:ascii="Times New Roman" w:hAnsi="Times New Roman" w:cs="Times New Roman"/>
          <w:sz w:val="24"/>
          <w:szCs w:val="24"/>
        </w:rPr>
        <w:t xml:space="preserve"> </w:t>
      </w:r>
    </w:p>
    <w:p w:rsidR="00FE5448" w:rsidRDefault="00FE5448" w:rsidP="007B2A66">
      <w:pPr>
        <w:rPr>
          <w:rFonts w:ascii="Times New Roman" w:hAnsi="Times New Roman" w:cs="Times New Roman"/>
          <w:sz w:val="24"/>
          <w:szCs w:val="24"/>
        </w:rPr>
      </w:pPr>
      <w:r w:rsidRPr="00FE5448">
        <w:rPr>
          <w:rFonts w:ascii="Times New Roman" w:hAnsi="Times New Roman" w:cs="Times New Roman"/>
          <w:sz w:val="24"/>
          <w:szCs w:val="24"/>
        </w:rPr>
        <w:t xml:space="preserve">In response to the multitude of employee class actions, many employers now include language in  employment arbitration agreements expressly precluding employees from bringing class or collective actions in any forum. These class action waiver agreements have been challenged by employees, with ever decreasing success. </w:t>
      </w:r>
      <w:r>
        <w:rPr>
          <w:rFonts w:ascii="Times New Roman" w:hAnsi="Times New Roman" w:cs="Times New Roman"/>
          <w:sz w:val="24"/>
          <w:szCs w:val="24"/>
        </w:rPr>
        <w:t xml:space="preserve"> </w:t>
      </w:r>
    </w:p>
    <w:p w:rsidR="007B2A66" w:rsidRPr="007B2A66" w:rsidRDefault="007B2A66" w:rsidP="007B2A66">
      <w:pPr>
        <w:rPr>
          <w:rFonts w:ascii="Times New Roman" w:hAnsi="Times New Roman" w:cs="Times New Roman"/>
          <w:sz w:val="24"/>
          <w:szCs w:val="24"/>
        </w:rPr>
      </w:pPr>
      <w:r>
        <w:rPr>
          <w:rFonts w:ascii="Times New Roman" w:hAnsi="Times New Roman" w:cs="Times New Roman"/>
          <w:sz w:val="24"/>
          <w:szCs w:val="24"/>
        </w:rPr>
        <w:t>M</w:t>
      </w:r>
      <w:r w:rsidRPr="007B2A66">
        <w:rPr>
          <w:rFonts w:ascii="Times New Roman" w:hAnsi="Times New Roman" w:cs="Times New Roman"/>
          <w:sz w:val="24"/>
          <w:szCs w:val="24"/>
        </w:rPr>
        <w:t>andatory arbitration agreements themselves have creat</w:t>
      </w:r>
      <w:r>
        <w:rPr>
          <w:rFonts w:ascii="Times New Roman" w:hAnsi="Times New Roman" w:cs="Times New Roman"/>
          <w:sz w:val="24"/>
          <w:szCs w:val="24"/>
        </w:rPr>
        <w:t>ed</w:t>
      </w:r>
      <w:r w:rsidRPr="007B2A66">
        <w:rPr>
          <w:rFonts w:ascii="Times New Roman" w:hAnsi="Times New Roman" w:cs="Times New Roman"/>
          <w:sz w:val="24"/>
          <w:szCs w:val="24"/>
        </w:rPr>
        <w:t xml:space="preserve"> their own source of litigation</w:t>
      </w:r>
      <w:r>
        <w:rPr>
          <w:rFonts w:ascii="Times New Roman" w:hAnsi="Times New Roman" w:cs="Times New Roman"/>
          <w:sz w:val="24"/>
          <w:szCs w:val="24"/>
        </w:rPr>
        <w:t xml:space="preserve">, including over </w:t>
      </w:r>
      <w:r w:rsidR="00FE5448" w:rsidRPr="00FE5448">
        <w:rPr>
          <w:rFonts w:ascii="Times New Roman" w:hAnsi="Times New Roman" w:cs="Times New Roman"/>
          <w:sz w:val="24"/>
          <w:szCs w:val="24"/>
        </w:rPr>
        <w:t>enforceability</w:t>
      </w:r>
      <w:r w:rsidR="00FE5448">
        <w:rPr>
          <w:rFonts w:ascii="Times New Roman" w:hAnsi="Times New Roman" w:cs="Times New Roman"/>
          <w:sz w:val="24"/>
          <w:szCs w:val="24"/>
        </w:rPr>
        <w:t>, scope of judicial review,</w:t>
      </w:r>
      <w:r w:rsidR="00FE5448" w:rsidRPr="00FE5448">
        <w:rPr>
          <w:rFonts w:ascii="Times New Roman" w:hAnsi="Times New Roman" w:cs="Times New Roman"/>
          <w:sz w:val="24"/>
          <w:szCs w:val="24"/>
        </w:rPr>
        <w:t xml:space="preserve"> and</w:t>
      </w:r>
      <w:r w:rsidR="00FE5448">
        <w:rPr>
          <w:rFonts w:ascii="Times New Roman" w:hAnsi="Times New Roman" w:cs="Times New Roman"/>
          <w:sz w:val="24"/>
          <w:szCs w:val="24"/>
        </w:rPr>
        <w:t>, more recently,</w:t>
      </w:r>
      <w:r w:rsidR="00FE5448" w:rsidRPr="00FE5448">
        <w:rPr>
          <w:rFonts w:ascii="Times New Roman" w:hAnsi="Times New Roman" w:cs="Times New Roman"/>
          <w:sz w:val="24"/>
          <w:szCs w:val="24"/>
        </w:rPr>
        <w:t xml:space="preserve"> </w:t>
      </w:r>
      <w:r>
        <w:rPr>
          <w:rFonts w:ascii="Times New Roman" w:hAnsi="Times New Roman" w:cs="Times New Roman"/>
          <w:sz w:val="24"/>
          <w:szCs w:val="24"/>
        </w:rPr>
        <w:t>class action waivers.</w:t>
      </w:r>
    </w:p>
    <w:p w:rsidR="007B2A66" w:rsidRPr="007B2A66" w:rsidRDefault="00FE5448" w:rsidP="007B2A66">
      <w:pPr>
        <w:rPr>
          <w:rFonts w:ascii="Times New Roman" w:hAnsi="Times New Roman" w:cs="Times New Roman"/>
          <w:sz w:val="24"/>
          <w:szCs w:val="24"/>
          <w:u w:val="single"/>
        </w:rPr>
      </w:pPr>
      <w:r w:rsidRPr="00FE5448">
        <w:rPr>
          <w:rFonts w:ascii="Times New Roman" w:hAnsi="Times New Roman" w:cs="Times New Roman"/>
          <w:sz w:val="24"/>
          <w:szCs w:val="24"/>
          <w:u w:val="single"/>
        </w:rPr>
        <w:t xml:space="preserve">Recent Federal and California Cases of Note </w:t>
      </w:r>
      <w:r>
        <w:rPr>
          <w:rFonts w:ascii="Times New Roman" w:hAnsi="Times New Roman" w:cs="Times New Roman"/>
          <w:sz w:val="24"/>
          <w:szCs w:val="24"/>
          <w:u w:val="single"/>
        </w:rPr>
        <w:t xml:space="preserve">Concerning </w:t>
      </w:r>
      <w:r w:rsidR="007B2A66" w:rsidRPr="007B2A66">
        <w:rPr>
          <w:rFonts w:ascii="Times New Roman" w:hAnsi="Times New Roman" w:cs="Times New Roman"/>
          <w:sz w:val="24"/>
          <w:szCs w:val="24"/>
          <w:u w:val="single"/>
        </w:rPr>
        <w:t>Arbitration Agreements Excluding Class Actions</w:t>
      </w:r>
    </w:p>
    <w:p w:rsidR="007B2A66" w:rsidRPr="007B2A66" w:rsidRDefault="00FE5448" w:rsidP="007B2A66">
      <w:pPr>
        <w:rPr>
          <w:rFonts w:ascii="Times New Roman" w:eastAsia="Times New Roman" w:hAnsi="Times New Roman" w:cs="Times New Roman"/>
          <w:bCs/>
          <w:sz w:val="24"/>
          <w:szCs w:val="24"/>
        </w:rPr>
      </w:pPr>
      <w:r w:rsidRPr="00FE5448">
        <w:rPr>
          <w:rFonts w:ascii="Times New Roman" w:eastAsia="Times New Roman" w:hAnsi="Times New Roman" w:cs="Times New Roman"/>
          <w:bCs/>
          <w:i/>
          <w:sz w:val="24"/>
          <w:szCs w:val="24"/>
        </w:rPr>
        <w:t>AT&amp;T Mobility LLC v. Concepcion,</w:t>
      </w:r>
      <w:r>
        <w:rPr>
          <w:rFonts w:ascii="Times New Roman" w:eastAsia="Times New Roman" w:hAnsi="Times New Roman" w:cs="Times New Roman"/>
          <w:bCs/>
          <w:i/>
          <w:sz w:val="24"/>
          <w:szCs w:val="24"/>
        </w:rPr>
        <w:t xml:space="preserve"> </w:t>
      </w:r>
      <w:r w:rsidRPr="00FE5448">
        <w:rPr>
          <w:rFonts w:ascii="Times New Roman" w:eastAsia="Times New Roman" w:hAnsi="Times New Roman" w:cs="Times New Roman"/>
          <w:bCs/>
          <w:sz w:val="24"/>
          <w:szCs w:val="24"/>
        </w:rPr>
        <w:t>131 S. Ct. 1740 (2011)</w:t>
      </w:r>
      <w:r w:rsidR="007B2A66" w:rsidRPr="00FE5448">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007B2A66" w:rsidRPr="007B2A66">
        <w:rPr>
          <w:rFonts w:ascii="Times New Roman" w:eastAsia="Times New Roman" w:hAnsi="Times New Roman" w:cs="Times New Roman"/>
          <w:bCs/>
          <w:sz w:val="24"/>
          <w:szCs w:val="24"/>
        </w:rPr>
        <w:t>U.S. Supreme Court held Federal Arbitration Act preempts state law that made class action waiver unconscionable</w:t>
      </w:r>
      <w:r>
        <w:rPr>
          <w:rFonts w:ascii="Times New Roman" w:eastAsia="Times New Roman" w:hAnsi="Times New Roman" w:cs="Times New Roman"/>
          <w:bCs/>
          <w:sz w:val="24"/>
          <w:szCs w:val="24"/>
        </w:rPr>
        <w:t>.</w:t>
      </w:r>
    </w:p>
    <w:p w:rsidR="007B2A66" w:rsidRPr="007B2A66" w:rsidRDefault="007B2A66" w:rsidP="007B2A66">
      <w:pPr>
        <w:rPr>
          <w:rFonts w:ascii="Times New Roman" w:eastAsia="Times New Roman" w:hAnsi="Times New Roman" w:cs="Times New Roman"/>
          <w:bCs/>
          <w:sz w:val="24"/>
          <w:szCs w:val="24"/>
        </w:rPr>
      </w:pPr>
      <w:r w:rsidRPr="007B2A66">
        <w:rPr>
          <w:rFonts w:ascii="Times New Roman" w:eastAsia="Times New Roman" w:hAnsi="Times New Roman" w:cs="Times New Roman"/>
          <w:bCs/>
          <w:i/>
          <w:sz w:val="24"/>
          <w:szCs w:val="24"/>
        </w:rPr>
        <w:t>Stolt-Nielsen S.A. v. AnimalFeeds International Corp</w:t>
      </w:r>
      <w:r w:rsidR="00FE5448">
        <w:rPr>
          <w:rFonts w:ascii="Times New Roman" w:eastAsia="Times New Roman" w:hAnsi="Times New Roman" w:cs="Times New Roman"/>
          <w:bCs/>
          <w:i/>
          <w:sz w:val="24"/>
          <w:szCs w:val="24"/>
        </w:rPr>
        <w:t xml:space="preserve">, </w:t>
      </w:r>
      <w:r w:rsidR="00FE5448" w:rsidRPr="00FE5448">
        <w:rPr>
          <w:rFonts w:ascii="Times New Roman" w:eastAsia="Times New Roman" w:hAnsi="Times New Roman" w:cs="Times New Roman"/>
          <w:bCs/>
          <w:i/>
          <w:sz w:val="24"/>
          <w:szCs w:val="24"/>
        </w:rPr>
        <w:t>Stolt-Nielsen S.A. v. AnimalFeeds International Corp.,</w:t>
      </w:r>
      <w:r w:rsidR="00FE5448" w:rsidRPr="00FE5448">
        <w:rPr>
          <w:rFonts w:ascii="Times New Roman" w:eastAsia="Times New Roman" w:hAnsi="Times New Roman" w:cs="Times New Roman"/>
          <w:bCs/>
          <w:sz w:val="24"/>
          <w:szCs w:val="24"/>
        </w:rPr>
        <w:t>130 S. Ct. 1758, 1767 (2010)</w:t>
      </w:r>
      <w:r w:rsidR="00FE5448">
        <w:rPr>
          <w:rFonts w:ascii="Times New Roman" w:eastAsia="Times New Roman" w:hAnsi="Times New Roman" w:cs="Times New Roman"/>
          <w:bCs/>
          <w:sz w:val="24"/>
          <w:szCs w:val="24"/>
        </w:rPr>
        <w:t>:</w:t>
      </w:r>
      <w:r w:rsidRPr="007B2A66">
        <w:rPr>
          <w:rFonts w:ascii="Times New Roman" w:eastAsia="Times New Roman" w:hAnsi="Times New Roman" w:cs="Times New Roman"/>
          <w:bCs/>
          <w:sz w:val="24"/>
          <w:szCs w:val="24"/>
        </w:rPr>
        <w:t xml:space="preserve"> U.S. Supreme Court held imposing class arbitration on parties who have not agreed to it violates Federal Arbitration Act</w:t>
      </w:r>
      <w:r w:rsidR="00FE5448">
        <w:rPr>
          <w:rFonts w:ascii="Times New Roman" w:eastAsia="Times New Roman" w:hAnsi="Times New Roman" w:cs="Times New Roman"/>
          <w:bCs/>
          <w:sz w:val="24"/>
          <w:szCs w:val="24"/>
        </w:rPr>
        <w:t>.</w:t>
      </w:r>
    </w:p>
    <w:p w:rsidR="00FE5448" w:rsidRDefault="007B2A66" w:rsidP="005919A4">
      <w:pPr>
        <w:rPr>
          <w:rFonts w:ascii="Times New Roman" w:eastAsia="Times New Roman" w:hAnsi="Times New Roman" w:cs="Times New Roman"/>
          <w:bCs/>
          <w:sz w:val="24"/>
          <w:szCs w:val="24"/>
        </w:rPr>
      </w:pPr>
      <w:r w:rsidRPr="007B2A66">
        <w:rPr>
          <w:rFonts w:ascii="Times New Roman" w:eastAsia="Times New Roman" w:hAnsi="Times New Roman" w:cs="Times New Roman"/>
          <w:bCs/>
          <w:i/>
          <w:sz w:val="24"/>
          <w:szCs w:val="24"/>
        </w:rPr>
        <w:t>Kinecta Alternative Financial Solutions, Inc. v. Superior Court</w:t>
      </w:r>
      <w:r w:rsidRPr="007B2A66">
        <w:rPr>
          <w:rFonts w:ascii="Times New Roman" w:eastAsia="Times New Roman" w:hAnsi="Times New Roman" w:cs="Times New Roman"/>
          <w:bCs/>
          <w:sz w:val="24"/>
          <w:szCs w:val="24"/>
        </w:rPr>
        <w:t>,</w:t>
      </w:r>
      <w:r w:rsidR="00FE5448" w:rsidRPr="00FE5448">
        <w:t xml:space="preserve"> </w:t>
      </w:r>
      <w:r w:rsidR="00FE5448" w:rsidRPr="00FE5448">
        <w:rPr>
          <w:rFonts w:ascii="Times New Roman" w:eastAsia="Times New Roman" w:hAnsi="Times New Roman" w:cs="Times New Roman"/>
          <w:bCs/>
          <w:sz w:val="24"/>
          <w:szCs w:val="24"/>
        </w:rPr>
        <w:t>205 Cal.App.4th 506</w:t>
      </w:r>
      <w:r w:rsidRPr="007B2A66">
        <w:rPr>
          <w:rFonts w:ascii="Times New Roman" w:eastAsia="Times New Roman" w:hAnsi="Times New Roman" w:cs="Times New Roman"/>
          <w:bCs/>
          <w:sz w:val="24"/>
          <w:szCs w:val="24"/>
        </w:rPr>
        <w:t xml:space="preserve"> </w:t>
      </w:r>
      <w:r w:rsidR="00FE5448" w:rsidRPr="00FE5448">
        <w:rPr>
          <w:rFonts w:ascii="Times New Roman" w:eastAsia="Times New Roman" w:hAnsi="Times New Roman" w:cs="Times New Roman"/>
          <w:bCs/>
          <w:sz w:val="24"/>
          <w:szCs w:val="24"/>
        </w:rPr>
        <w:t>(</w:t>
      </w:r>
      <w:r w:rsidR="00FE5448">
        <w:rPr>
          <w:rFonts w:ascii="Times New Roman" w:eastAsia="Times New Roman" w:hAnsi="Times New Roman" w:cs="Times New Roman"/>
          <w:bCs/>
          <w:sz w:val="24"/>
          <w:szCs w:val="24"/>
        </w:rPr>
        <w:t>20</w:t>
      </w:r>
      <w:r w:rsidR="00FE5448" w:rsidRPr="00FE5448">
        <w:rPr>
          <w:rFonts w:ascii="Times New Roman" w:eastAsia="Times New Roman" w:hAnsi="Times New Roman" w:cs="Times New Roman"/>
          <w:bCs/>
          <w:sz w:val="24"/>
          <w:szCs w:val="24"/>
        </w:rPr>
        <w:t>12)</w:t>
      </w:r>
      <w:r w:rsidR="00FE5448">
        <w:rPr>
          <w:rFonts w:ascii="Times New Roman" w:eastAsia="Times New Roman" w:hAnsi="Times New Roman" w:cs="Times New Roman"/>
          <w:bCs/>
          <w:sz w:val="24"/>
          <w:szCs w:val="24"/>
        </w:rPr>
        <w:t xml:space="preserve">:  </w:t>
      </w:r>
      <w:r w:rsidRPr="007B2A66">
        <w:rPr>
          <w:rFonts w:ascii="Times New Roman" w:eastAsia="Times New Roman" w:hAnsi="Times New Roman" w:cs="Times New Roman"/>
          <w:bCs/>
          <w:sz w:val="24"/>
          <w:szCs w:val="24"/>
        </w:rPr>
        <w:t xml:space="preserve">California Court of Appeal held that an arbitration provision in an employment contract that neither prohibits nor authorizes class arbitration cannot be interpreted to provide for class arbitration. </w:t>
      </w:r>
    </w:p>
    <w:p w:rsidR="00FE5448" w:rsidRDefault="00FE5448" w:rsidP="00FE5448">
      <w:pPr>
        <w:rPr>
          <w:rFonts w:ascii="Times New Roman" w:eastAsia="Times New Roman" w:hAnsi="Times New Roman" w:cs="Times New Roman"/>
          <w:bCs/>
          <w:sz w:val="24"/>
          <w:szCs w:val="24"/>
        </w:rPr>
      </w:pPr>
      <w:r w:rsidRPr="00FE5448">
        <w:rPr>
          <w:rFonts w:ascii="Times New Roman" w:eastAsia="Times New Roman" w:hAnsi="Times New Roman" w:cs="Times New Roman"/>
          <w:bCs/>
          <w:i/>
          <w:sz w:val="24"/>
          <w:szCs w:val="24"/>
        </w:rPr>
        <w:t>Gentry v. Superior Court</w:t>
      </w:r>
      <w:r w:rsidRPr="00FE5448">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Pr="00FE5448">
        <w:rPr>
          <w:rFonts w:ascii="Times New Roman" w:eastAsia="Times New Roman" w:hAnsi="Times New Roman" w:cs="Times New Roman"/>
          <w:bCs/>
          <w:sz w:val="24"/>
          <w:szCs w:val="24"/>
        </w:rPr>
        <w:t>42 Cal.4th 443 ((2007)</w:t>
      </w:r>
      <w:r>
        <w:rPr>
          <w:rFonts w:ascii="Times New Roman" w:eastAsia="Times New Roman" w:hAnsi="Times New Roman" w:cs="Times New Roman"/>
          <w:bCs/>
          <w:sz w:val="24"/>
          <w:szCs w:val="24"/>
        </w:rPr>
        <w:t xml:space="preserve">: California Supreme Court held that </w:t>
      </w:r>
      <w:r w:rsidRPr="00FE5448">
        <w:rPr>
          <w:rFonts w:ascii="Times New Roman" w:eastAsia="Times New Roman" w:hAnsi="Times New Roman" w:cs="Times New Roman"/>
          <w:bCs/>
          <w:sz w:val="24"/>
          <w:szCs w:val="24"/>
        </w:rPr>
        <w:t xml:space="preserve">if </w:t>
      </w:r>
      <w:r>
        <w:rPr>
          <w:rFonts w:ascii="Times New Roman" w:eastAsia="Times New Roman" w:hAnsi="Times New Roman" w:cs="Times New Roman"/>
          <w:bCs/>
          <w:sz w:val="24"/>
          <w:szCs w:val="24"/>
        </w:rPr>
        <w:t xml:space="preserve">a </w:t>
      </w:r>
      <w:r w:rsidRPr="00FE5448">
        <w:rPr>
          <w:rFonts w:ascii="Times New Roman" w:eastAsia="Times New Roman" w:hAnsi="Times New Roman" w:cs="Times New Roman"/>
          <w:bCs/>
          <w:sz w:val="24"/>
          <w:szCs w:val="24"/>
        </w:rPr>
        <w:t xml:space="preserve">class action is requested notwithstanding an arbitration agreement that contains a class arbitration waiver, the trial court must </w:t>
      </w:r>
      <w:r>
        <w:rPr>
          <w:rFonts w:ascii="Times New Roman" w:eastAsia="Times New Roman" w:hAnsi="Times New Roman" w:cs="Times New Roman"/>
          <w:bCs/>
          <w:sz w:val="24"/>
          <w:szCs w:val="24"/>
        </w:rPr>
        <w:t xml:space="preserve">consider these </w:t>
      </w:r>
      <w:r w:rsidRPr="00FE5448">
        <w:rPr>
          <w:rFonts w:ascii="Times New Roman" w:eastAsia="Times New Roman" w:hAnsi="Times New Roman" w:cs="Times New Roman"/>
          <w:bCs/>
          <w:sz w:val="24"/>
          <w:szCs w:val="24"/>
        </w:rPr>
        <w:t xml:space="preserve">four factors: (1) the modest size of the potential individual recovery; (2) the potential for retaliation against members of the class; (3) the fact that absent class members may be ill informed about their rights; and (4) other real world obstacles to the vindication of class members' statutory rights. The Court </w:t>
      </w:r>
      <w:r>
        <w:rPr>
          <w:rFonts w:ascii="Times New Roman" w:eastAsia="Times New Roman" w:hAnsi="Times New Roman" w:cs="Times New Roman"/>
          <w:bCs/>
          <w:sz w:val="24"/>
          <w:szCs w:val="24"/>
        </w:rPr>
        <w:t>ruled</w:t>
      </w:r>
      <w:r w:rsidRPr="00FE5448">
        <w:rPr>
          <w:rFonts w:ascii="Times New Roman" w:eastAsia="Times New Roman" w:hAnsi="Times New Roman" w:cs="Times New Roman"/>
          <w:bCs/>
          <w:sz w:val="24"/>
          <w:szCs w:val="24"/>
        </w:rPr>
        <w:t xml:space="preserve"> that if the </w:t>
      </w:r>
      <w:r>
        <w:rPr>
          <w:rFonts w:ascii="Times New Roman" w:eastAsia="Times New Roman" w:hAnsi="Times New Roman" w:cs="Times New Roman"/>
          <w:bCs/>
          <w:sz w:val="24"/>
          <w:szCs w:val="24"/>
        </w:rPr>
        <w:t xml:space="preserve"> </w:t>
      </w:r>
      <w:r w:rsidRPr="00FE5448">
        <w:rPr>
          <w:rFonts w:ascii="Times New Roman" w:eastAsia="Times New Roman" w:hAnsi="Times New Roman" w:cs="Times New Roman"/>
          <w:bCs/>
          <w:sz w:val="24"/>
          <w:szCs w:val="24"/>
        </w:rPr>
        <w:t>tr</w:t>
      </w:r>
      <w:r>
        <w:rPr>
          <w:rFonts w:ascii="Times New Roman" w:eastAsia="Times New Roman" w:hAnsi="Times New Roman" w:cs="Times New Roman"/>
          <w:bCs/>
          <w:sz w:val="24"/>
          <w:szCs w:val="24"/>
        </w:rPr>
        <w:t xml:space="preserve">ial court determines, based on </w:t>
      </w:r>
      <w:r w:rsidRPr="00FE5448">
        <w:rPr>
          <w:rFonts w:ascii="Times New Roman" w:eastAsia="Times New Roman" w:hAnsi="Times New Roman" w:cs="Times New Roman"/>
          <w:bCs/>
          <w:sz w:val="24"/>
          <w:szCs w:val="24"/>
        </w:rPr>
        <w:t xml:space="preserve">these factors, that class action arbitration would be a significantly more effective way of vindicating the rights of affected employees than individual arbitration, the court must invalidate the class arbitration waiver. </w:t>
      </w:r>
      <w:r>
        <w:rPr>
          <w:rFonts w:ascii="Times New Roman" w:eastAsia="Times New Roman" w:hAnsi="Times New Roman" w:cs="Times New Roman"/>
          <w:bCs/>
          <w:sz w:val="24"/>
          <w:szCs w:val="24"/>
        </w:rPr>
        <w:t xml:space="preserve">The California Supreme Court has not yet considered whether  the U.S. Supreme Court’s decision in </w:t>
      </w:r>
      <w:r w:rsidRPr="00FE5448">
        <w:rPr>
          <w:rFonts w:ascii="Times New Roman" w:eastAsia="Times New Roman" w:hAnsi="Times New Roman" w:cs="Times New Roman"/>
          <w:bCs/>
          <w:i/>
          <w:sz w:val="24"/>
          <w:szCs w:val="24"/>
        </w:rPr>
        <w:t>AT&amp;T Mobility LLC v. Concepcion</w:t>
      </w:r>
      <w:r>
        <w:rPr>
          <w:rFonts w:ascii="Times New Roman" w:eastAsia="Times New Roman" w:hAnsi="Times New Roman" w:cs="Times New Roman"/>
          <w:bCs/>
          <w:sz w:val="24"/>
          <w:szCs w:val="24"/>
        </w:rPr>
        <w:t xml:space="preserve"> overrules </w:t>
      </w:r>
      <w:r w:rsidRPr="00FE5448">
        <w:rPr>
          <w:rFonts w:ascii="Times New Roman" w:eastAsia="Times New Roman" w:hAnsi="Times New Roman" w:cs="Times New Roman"/>
          <w:bCs/>
          <w:i/>
          <w:sz w:val="24"/>
          <w:szCs w:val="24"/>
        </w:rPr>
        <w:t>Gentry</w:t>
      </w:r>
      <w:r>
        <w:rPr>
          <w:rFonts w:ascii="Times New Roman" w:eastAsia="Times New Roman" w:hAnsi="Times New Roman" w:cs="Times New Roman"/>
          <w:bCs/>
          <w:sz w:val="24"/>
          <w:szCs w:val="24"/>
        </w:rPr>
        <w:t>.</w:t>
      </w:r>
    </w:p>
    <w:p w:rsidR="00FE5448" w:rsidRDefault="00FE5448" w:rsidP="005919A4">
      <w:pPr>
        <w:rPr>
          <w:rFonts w:ascii="Times New Roman" w:eastAsia="Times New Roman" w:hAnsi="Times New Roman" w:cs="Times New Roman"/>
          <w:bCs/>
          <w:sz w:val="24"/>
          <w:szCs w:val="24"/>
          <w:u w:val="single"/>
        </w:rPr>
      </w:pPr>
      <w:r>
        <w:rPr>
          <w:rFonts w:ascii="Times New Roman" w:eastAsia="Times New Roman" w:hAnsi="Times New Roman" w:cs="Times New Roman"/>
          <w:bCs/>
          <w:sz w:val="24"/>
          <w:szCs w:val="24"/>
          <w:u w:val="single"/>
        </w:rPr>
        <w:t xml:space="preserve">Other </w:t>
      </w:r>
      <w:r w:rsidRPr="00FE5448">
        <w:rPr>
          <w:rFonts w:ascii="Times New Roman" w:eastAsia="Times New Roman" w:hAnsi="Times New Roman" w:cs="Times New Roman"/>
          <w:bCs/>
          <w:sz w:val="24"/>
          <w:szCs w:val="24"/>
          <w:u w:val="single"/>
        </w:rPr>
        <w:t xml:space="preserve">Recent Federal and California Cases </w:t>
      </w:r>
      <w:r>
        <w:rPr>
          <w:rFonts w:ascii="Times New Roman" w:eastAsia="Times New Roman" w:hAnsi="Times New Roman" w:cs="Times New Roman"/>
          <w:bCs/>
          <w:sz w:val="24"/>
          <w:szCs w:val="24"/>
          <w:u w:val="single"/>
        </w:rPr>
        <w:t>of Note Concerning Employment Arbitration Agreements</w:t>
      </w:r>
    </w:p>
    <w:p w:rsidR="005919A4" w:rsidRPr="007B2A66" w:rsidRDefault="00FE5448" w:rsidP="005919A4">
      <w:pPr>
        <w:rPr>
          <w:rFonts w:ascii="Times New Roman" w:eastAsia="Times New Roman" w:hAnsi="Times New Roman" w:cs="Times New Roman"/>
          <w:bCs/>
          <w:sz w:val="24"/>
          <w:szCs w:val="24"/>
        </w:rPr>
      </w:pPr>
      <w:r w:rsidRPr="00FE5448">
        <w:rPr>
          <w:rFonts w:ascii="Times New Roman" w:eastAsia="Times New Roman" w:hAnsi="Times New Roman" w:cs="Times New Roman"/>
          <w:bCs/>
          <w:i/>
          <w:sz w:val="24"/>
          <w:szCs w:val="24"/>
        </w:rPr>
        <w:t xml:space="preserve">Rent-A-Center, West, Inc. v. Jackson, </w:t>
      </w:r>
      <w:r w:rsidRPr="00FE5448">
        <w:rPr>
          <w:rFonts w:ascii="Times New Roman" w:eastAsia="Times New Roman" w:hAnsi="Times New Roman" w:cs="Times New Roman"/>
          <w:bCs/>
          <w:sz w:val="24"/>
          <w:szCs w:val="24"/>
        </w:rPr>
        <w:t>130 S.Ct. 2772 (2010)</w:t>
      </w:r>
      <w:r w:rsidR="005919A4" w:rsidRPr="00FE5448">
        <w:rPr>
          <w:rFonts w:ascii="Times New Roman" w:eastAsia="Times New Roman" w:hAnsi="Times New Roman" w:cs="Times New Roman"/>
          <w:bCs/>
          <w:sz w:val="24"/>
          <w:szCs w:val="24"/>
        </w:rPr>
        <w:t>:</w:t>
      </w:r>
      <w:r w:rsidR="005919A4" w:rsidRPr="007B2A66">
        <w:rPr>
          <w:rFonts w:ascii="Times New Roman" w:eastAsia="Times New Roman" w:hAnsi="Times New Roman" w:cs="Times New Roman"/>
          <w:bCs/>
          <w:sz w:val="24"/>
          <w:szCs w:val="24"/>
        </w:rPr>
        <w:t xml:space="preserve">  U</w:t>
      </w:r>
      <w:r w:rsidR="007B2A66" w:rsidRPr="007B2A66">
        <w:rPr>
          <w:rFonts w:ascii="Times New Roman" w:eastAsia="Times New Roman" w:hAnsi="Times New Roman" w:cs="Times New Roman"/>
          <w:bCs/>
          <w:sz w:val="24"/>
          <w:szCs w:val="24"/>
        </w:rPr>
        <w:t>.</w:t>
      </w:r>
      <w:r w:rsidR="005919A4" w:rsidRPr="007B2A66">
        <w:rPr>
          <w:rFonts w:ascii="Times New Roman" w:eastAsia="Times New Roman" w:hAnsi="Times New Roman" w:cs="Times New Roman"/>
          <w:bCs/>
          <w:sz w:val="24"/>
          <w:szCs w:val="24"/>
        </w:rPr>
        <w:t>S</w:t>
      </w:r>
      <w:r w:rsidR="007B2A66" w:rsidRPr="007B2A66">
        <w:rPr>
          <w:rFonts w:ascii="Times New Roman" w:eastAsia="Times New Roman" w:hAnsi="Times New Roman" w:cs="Times New Roman"/>
          <w:bCs/>
          <w:sz w:val="24"/>
          <w:szCs w:val="24"/>
        </w:rPr>
        <w:t>.</w:t>
      </w:r>
      <w:r w:rsidR="005919A4" w:rsidRPr="007B2A66">
        <w:rPr>
          <w:rFonts w:ascii="Times New Roman" w:eastAsia="Times New Roman" w:hAnsi="Times New Roman" w:cs="Times New Roman"/>
          <w:bCs/>
          <w:sz w:val="24"/>
          <w:szCs w:val="24"/>
        </w:rPr>
        <w:t xml:space="preserve"> Supreme Court held </w:t>
      </w:r>
      <w:r>
        <w:rPr>
          <w:rFonts w:ascii="Times New Roman" w:eastAsia="Times New Roman" w:hAnsi="Times New Roman" w:cs="Times New Roman"/>
          <w:bCs/>
          <w:sz w:val="24"/>
          <w:szCs w:val="24"/>
        </w:rPr>
        <w:t xml:space="preserve">that the </w:t>
      </w:r>
      <w:r w:rsidR="005919A4" w:rsidRPr="007B2A66">
        <w:rPr>
          <w:rFonts w:ascii="Times New Roman" w:eastAsia="Times New Roman" w:hAnsi="Times New Roman" w:cs="Times New Roman"/>
          <w:bCs/>
          <w:sz w:val="24"/>
          <w:szCs w:val="24"/>
        </w:rPr>
        <w:t xml:space="preserve">Arbitrator, not </w:t>
      </w:r>
      <w:r>
        <w:rPr>
          <w:rFonts w:ascii="Times New Roman" w:eastAsia="Times New Roman" w:hAnsi="Times New Roman" w:cs="Times New Roman"/>
          <w:bCs/>
          <w:sz w:val="24"/>
          <w:szCs w:val="24"/>
        </w:rPr>
        <w:t xml:space="preserve">the </w:t>
      </w:r>
      <w:r w:rsidR="005919A4" w:rsidRPr="007B2A66">
        <w:rPr>
          <w:rFonts w:ascii="Times New Roman" w:eastAsia="Times New Roman" w:hAnsi="Times New Roman" w:cs="Times New Roman"/>
          <w:bCs/>
          <w:sz w:val="24"/>
          <w:szCs w:val="24"/>
        </w:rPr>
        <w:t xml:space="preserve">court, decides whether </w:t>
      </w:r>
      <w:r>
        <w:rPr>
          <w:rFonts w:ascii="Times New Roman" w:eastAsia="Times New Roman" w:hAnsi="Times New Roman" w:cs="Times New Roman"/>
          <w:bCs/>
          <w:sz w:val="24"/>
          <w:szCs w:val="24"/>
        </w:rPr>
        <w:t xml:space="preserve">an </w:t>
      </w:r>
      <w:r w:rsidR="005919A4" w:rsidRPr="007B2A66">
        <w:rPr>
          <w:rFonts w:ascii="Times New Roman" w:eastAsia="Times New Roman" w:hAnsi="Times New Roman" w:cs="Times New Roman"/>
          <w:bCs/>
          <w:sz w:val="24"/>
          <w:szCs w:val="24"/>
        </w:rPr>
        <w:t>arbitrat</w:t>
      </w:r>
      <w:r>
        <w:rPr>
          <w:rFonts w:ascii="Times New Roman" w:eastAsia="Times New Roman" w:hAnsi="Times New Roman" w:cs="Times New Roman"/>
          <w:bCs/>
          <w:sz w:val="24"/>
          <w:szCs w:val="24"/>
        </w:rPr>
        <w:t>ion agreement is unconscionable.</w:t>
      </w:r>
    </w:p>
    <w:p w:rsidR="00FE5448" w:rsidRDefault="00FE5448" w:rsidP="007B2A66">
      <w:pPr>
        <w:rPr>
          <w:rFonts w:ascii="Times New Roman" w:eastAsia="Times New Roman" w:hAnsi="Times New Roman" w:cs="Times New Roman"/>
          <w:bCs/>
          <w:sz w:val="24"/>
          <w:szCs w:val="24"/>
        </w:rPr>
      </w:pPr>
      <w:r w:rsidRPr="00FE5448">
        <w:rPr>
          <w:rFonts w:ascii="Times New Roman" w:eastAsia="Times New Roman" w:hAnsi="Times New Roman" w:cs="Times New Roman"/>
          <w:bCs/>
          <w:i/>
          <w:sz w:val="24"/>
          <w:szCs w:val="24"/>
        </w:rPr>
        <w:t>14 Penn Plaza LLC v. Pyett</w:t>
      </w:r>
      <w:r w:rsidRPr="00FE5448">
        <w:rPr>
          <w:rFonts w:ascii="Times New Roman" w:eastAsia="Times New Roman" w:hAnsi="Times New Roman" w:cs="Times New Roman"/>
          <w:bCs/>
          <w:sz w:val="24"/>
          <w:szCs w:val="24"/>
        </w:rPr>
        <w:t>, 129 S. Ct. 1456  (2009):</w:t>
      </w:r>
      <w:r>
        <w:rPr>
          <w:rFonts w:ascii="Times New Roman" w:eastAsia="Times New Roman" w:hAnsi="Times New Roman" w:cs="Times New Roman"/>
          <w:bCs/>
          <w:i/>
          <w:sz w:val="24"/>
          <w:szCs w:val="24"/>
        </w:rPr>
        <w:t xml:space="preserve"> </w:t>
      </w:r>
      <w:r w:rsidR="007B2A66" w:rsidRPr="007B2A66">
        <w:rPr>
          <w:rFonts w:ascii="Times New Roman" w:eastAsia="Times New Roman" w:hAnsi="Times New Roman" w:cs="Times New Roman"/>
          <w:bCs/>
          <w:sz w:val="24"/>
          <w:szCs w:val="24"/>
        </w:rPr>
        <w:t xml:space="preserve">U.S.  Supreme Court held that a provision in a collective-bargaining agreement clearly and unmistakably requiring union members to arbitrate Age Discrimination in Employment Act claims is enforceable as a matter of federal law. </w:t>
      </w:r>
    </w:p>
    <w:p w:rsidR="00FE5448" w:rsidRDefault="007B2A66" w:rsidP="007B2A66">
      <w:pPr>
        <w:rPr>
          <w:rFonts w:ascii="Times New Roman" w:eastAsia="Times New Roman" w:hAnsi="Times New Roman" w:cs="Times New Roman"/>
          <w:bCs/>
          <w:sz w:val="24"/>
          <w:szCs w:val="24"/>
        </w:rPr>
      </w:pPr>
      <w:r w:rsidRPr="007B2A66">
        <w:rPr>
          <w:rFonts w:ascii="Times New Roman" w:eastAsia="Times New Roman" w:hAnsi="Times New Roman" w:cs="Times New Roman"/>
          <w:bCs/>
          <w:i/>
          <w:sz w:val="24"/>
          <w:szCs w:val="24"/>
        </w:rPr>
        <w:t>Pearson Dental Supplies, Inc. v. Superior Court (Turcios)</w:t>
      </w:r>
      <w:r w:rsidR="00FE5448" w:rsidRPr="00FE5448">
        <w:rPr>
          <w:rFonts w:ascii="Times New Roman" w:eastAsia="Times New Roman" w:hAnsi="Times New Roman" w:cs="Times New Roman"/>
          <w:bCs/>
          <w:sz w:val="24"/>
          <w:szCs w:val="24"/>
        </w:rPr>
        <w:t xml:space="preserve">, 48 Cal.4th 665 (2010): </w:t>
      </w:r>
      <w:r w:rsidRPr="007B2A66">
        <w:rPr>
          <w:rFonts w:ascii="Times New Roman" w:eastAsia="Times New Roman" w:hAnsi="Times New Roman" w:cs="Times New Roman"/>
          <w:bCs/>
          <w:sz w:val="24"/>
          <w:szCs w:val="24"/>
        </w:rPr>
        <w:t xml:space="preserve">California Supreme Court  held that, where arbitration </w:t>
      </w:r>
      <w:r w:rsidR="00FE5448">
        <w:rPr>
          <w:rFonts w:ascii="Times New Roman" w:eastAsia="Times New Roman" w:hAnsi="Times New Roman" w:cs="Times New Roman"/>
          <w:bCs/>
          <w:sz w:val="24"/>
          <w:szCs w:val="24"/>
        </w:rPr>
        <w:t>is conducted pursuant to</w:t>
      </w:r>
      <w:r w:rsidRPr="007B2A66">
        <w:rPr>
          <w:rFonts w:ascii="Times New Roman" w:eastAsia="Times New Roman" w:hAnsi="Times New Roman" w:cs="Times New Roman"/>
          <w:bCs/>
          <w:sz w:val="24"/>
          <w:szCs w:val="24"/>
        </w:rPr>
        <w:t xml:space="preserve"> a mandatory employment arbitration agreement</w:t>
      </w:r>
      <w:r w:rsidR="00FE5448">
        <w:rPr>
          <w:rFonts w:ascii="Times New Roman" w:eastAsia="Times New Roman" w:hAnsi="Times New Roman" w:cs="Times New Roman"/>
          <w:bCs/>
          <w:sz w:val="24"/>
          <w:szCs w:val="24"/>
        </w:rPr>
        <w:t>,</w:t>
      </w:r>
      <w:r w:rsidRPr="007B2A66">
        <w:rPr>
          <w:rFonts w:ascii="Times New Roman" w:eastAsia="Times New Roman" w:hAnsi="Times New Roman" w:cs="Times New Roman"/>
          <w:bCs/>
          <w:sz w:val="24"/>
          <w:szCs w:val="24"/>
        </w:rPr>
        <w:t xml:space="preserve"> a court may vacate the arbitration award if it contains a clear error of law on its face</w:t>
      </w:r>
      <w:r w:rsidR="00FE5448">
        <w:rPr>
          <w:rFonts w:ascii="Times New Roman" w:eastAsia="Times New Roman" w:hAnsi="Times New Roman" w:cs="Times New Roman"/>
          <w:bCs/>
          <w:sz w:val="24"/>
          <w:szCs w:val="24"/>
        </w:rPr>
        <w:t xml:space="preserve"> </w:t>
      </w:r>
      <w:r w:rsidRPr="007B2A66">
        <w:rPr>
          <w:rFonts w:ascii="Times New Roman" w:eastAsia="Times New Roman" w:hAnsi="Times New Roman" w:cs="Times New Roman"/>
          <w:bCs/>
          <w:sz w:val="24"/>
          <w:szCs w:val="24"/>
        </w:rPr>
        <w:t xml:space="preserve">which precluded the employee from a hearing on the merits of his or her claim. </w:t>
      </w:r>
    </w:p>
    <w:p w:rsidR="00FE5448" w:rsidRDefault="005919A4" w:rsidP="00FE5448">
      <w:pPr>
        <w:rPr>
          <w:rFonts w:ascii="Times New Roman" w:hAnsi="Times New Roman" w:cs="Times New Roman"/>
          <w:b/>
          <w:sz w:val="32"/>
          <w:szCs w:val="32"/>
          <w:u w:val="single"/>
        </w:rPr>
      </w:pPr>
      <w:r w:rsidRPr="007B2A66">
        <w:rPr>
          <w:rFonts w:ascii="Times New Roman" w:hAnsi="Times New Roman" w:cs="Times New Roman"/>
          <w:b/>
          <w:sz w:val="32"/>
          <w:szCs w:val="32"/>
        </w:rPr>
        <w:t>3.</w:t>
      </w:r>
      <w:r w:rsidRPr="007B2A66">
        <w:rPr>
          <w:rFonts w:ascii="Times New Roman" w:hAnsi="Times New Roman" w:cs="Times New Roman"/>
          <w:b/>
          <w:sz w:val="32"/>
          <w:szCs w:val="32"/>
        </w:rPr>
        <w:tab/>
      </w:r>
      <w:r w:rsidRPr="007B2A66">
        <w:rPr>
          <w:rFonts w:ascii="Times New Roman" w:hAnsi="Times New Roman" w:cs="Times New Roman"/>
          <w:b/>
          <w:sz w:val="32"/>
          <w:szCs w:val="32"/>
          <w:u w:val="single"/>
        </w:rPr>
        <w:t>CLASS ACTIONS</w:t>
      </w:r>
    </w:p>
    <w:p w:rsidR="00FE5448" w:rsidRPr="00FE5448" w:rsidRDefault="00FE5448" w:rsidP="00FE5448">
      <w:pPr>
        <w:rPr>
          <w:rFonts w:ascii="Times New Roman" w:hAnsi="Times New Roman" w:cs="Times New Roman"/>
          <w:sz w:val="24"/>
          <w:szCs w:val="24"/>
        </w:rPr>
      </w:pPr>
      <w:r w:rsidRPr="00FE5448">
        <w:rPr>
          <w:rFonts w:ascii="Times New Roman" w:hAnsi="Times New Roman" w:cs="Times New Roman"/>
          <w:sz w:val="24"/>
          <w:szCs w:val="24"/>
        </w:rPr>
        <w:t xml:space="preserve">The </w:t>
      </w:r>
      <w:r>
        <w:rPr>
          <w:rFonts w:ascii="Times New Roman" w:hAnsi="Times New Roman" w:cs="Times New Roman"/>
          <w:sz w:val="24"/>
          <w:szCs w:val="24"/>
        </w:rPr>
        <w:t>federal and State courts continue to oversee</w:t>
      </w:r>
      <w:r w:rsidRPr="00FE5448">
        <w:rPr>
          <w:rFonts w:ascii="Times New Roman" w:hAnsi="Times New Roman" w:cs="Times New Roman"/>
          <w:sz w:val="24"/>
          <w:szCs w:val="24"/>
        </w:rPr>
        <w:t xml:space="preserve"> </w:t>
      </w:r>
      <w:r>
        <w:rPr>
          <w:rFonts w:ascii="Times New Roman" w:hAnsi="Times New Roman" w:cs="Times New Roman"/>
          <w:sz w:val="24"/>
          <w:szCs w:val="24"/>
        </w:rPr>
        <w:t>employment law-based</w:t>
      </w:r>
      <w:r w:rsidRPr="00FE5448">
        <w:rPr>
          <w:rFonts w:ascii="Times New Roman" w:hAnsi="Times New Roman" w:cs="Times New Roman"/>
          <w:sz w:val="24"/>
          <w:szCs w:val="24"/>
        </w:rPr>
        <w:t xml:space="preserve"> class action lawsuits</w:t>
      </w:r>
      <w:r>
        <w:rPr>
          <w:rFonts w:ascii="Times New Roman" w:hAnsi="Times New Roman" w:cs="Times New Roman"/>
          <w:sz w:val="24"/>
          <w:szCs w:val="24"/>
        </w:rPr>
        <w:t xml:space="preserve">.  The most significant phase of any class action lawsuit is the motion for class certification. The </w:t>
      </w:r>
      <w:r w:rsidRPr="00FE5448">
        <w:rPr>
          <w:rFonts w:ascii="Times New Roman" w:hAnsi="Times New Roman" w:cs="Times New Roman"/>
          <w:sz w:val="24"/>
          <w:szCs w:val="24"/>
        </w:rPr>
        <w:t xml:space="preserve">courts </w:t>
      </w:r>
      <w:r>
        <w:rPr>
          <w:rFonts w:ascii="Times New Roman" w:hAnsi="Times New Roman" w:cs="Times New Roman"/>
          <w:sz w:val="24"/>
          <w:szCs w:val="24"/>
        </w:rPr>
        <w:t xml:space="preserve">are constantly required to </w:t>
      </w:r>
      <w:r w:rsidRPr="00FE5448">
        <w:rPr>
          <w:rFonts w:ascii="Times New Roman" w:hAnsi="Times New Roman" w:cs="Times New Roman"/>
          <w:sz w:val="24"/>
          <w:szCs w:val="24"/>
        </w:rPr>
        <w:t xml:space="preserve">address </w:t>
      </w:r>
      <w:r>
        <w:rPr>
          <w:rFonts w:ascii="Times New Roman" w:hAnsi="Times New Roman" w:cs="Times New Roman"/>
          <w:sz w:val="24"/>
          <w:szCs w:val="24"/>
        </w:rPr>
        <w:t xml:space="preserve">ever evolving </w:t>
      </w:r>
      <w:r w:rsidRPr="00FE5448">
        <w:rPr>
          <w:rFonts w:ascii="Times New Roman" w:hAnsi="Times New Roman" w:cs="Times New Roman"/>
          <w:sz w:val="24"/>
          <w:szCs w:val="24"/>
        </w:rPr>
        <w:t xml:space="preserve">theories and defenses in ruling on class action </w:t>
      </w:r>
      <w:r>
        <w:rPr>
          <w:rFonts w:ascii="Times New Roman" w:hAnsi="Times New Roman" w:cs="Times New Roman"/>
          <w:sz w:val="24"/>
          <w:szCs w:val="24"/>
        </w:rPr>
        <w:t>certification</w:t>
      </w:r>
      <w:r w:rsidRPr="00FE5448">
        <w:rPr>
          <w:rFonts w:ascii="Times New Roman" w:hAnsi="Times New Roman" w:cs="Times New Roman"/>
          <w:sz w:val="24"/>
          <w:szCs w:val="24"/>
        </w:rPr>
        <w:t xml:space="preserve"> issues.</w:t>
      </w:r>
      <w:r>
        <w:rPr>
          <w:rFonts w:ascii="Times New Roman" w:hAnsi="Times New Roman" w:cs="Times New Roman"/>
          <w:sz w:val="24"/>
          <w:szCs w:val="24"/>
        </w:rPr>
        <w:t xml:space="preserve"> W</w:t>
      </w:r>
      <w:r w:rsidRPr="00FE5448">
        <w:rPr>
          <w:rFonts w:ascii="Times New Roman" w:hAnsi="Times New Roman" w:cs="Times New Roman"/>
          <w:sz w:val="24"/>
          <w:szCs w:val="24"/>
        </w:rPr>
        <w:t xml:space="preserve">age &amp; hour </w:t>
      </w:r>
      <w:r>
        <w:rPr>
          <w:rFonts w:ascii="Times New Roman" w:hAnsi="Times New Roman" w:cs="Times New Roman"/>
          <w:sz w:val="24"/>
          <w:szCs w:val="24"/>
        </w:rPr>
        <w:t>class actions are the most prevalent of employment class actions before the federal and State courts.</w:t>
      </w:r>
    </w:p>
    <w:p w:rsidR="00FE5448" w:rsidRPr="00FE5448" w:rsidRDefault="00FE5448" w:rsidP="00FE5448">
      <w:pPr>
        <w:rPr>
          <w:rFonts w:ascii="Times New Roman" w:hAnsi="Times New Roman" w:cs="Times New Roman"/>
          <w:sz w:val="24"/>
          <w:szCs w:val="24"/>
        </w:rPr>
      </w:pPr>
      <w:r w:rsidRPr="00FE5448">
        <w:rPr>
          <w:rFonts w:ascii="Times New Roman" w:hAnsi="Times New Roman" w:cs="Times New Roman"/>
          <w:sz w:val="24"/>
          <w:szCs w:val="24"/>
          <w:u w:val="single"/>
        </w:rPr>
        <w:t xml:space="preserve">U.S. Supreme Court Tightens Class-Certification Standards </w:t>
      </w:r>
      <w:r>
        <w:rPr>
          <w:rFonts w:ascii="Times New Roman" w:hAnsi="Times New Roman" w:cs="Times New Roman"/>
          <w:sz w:val="24"/>
          <w:szCs w:val="24"/>
          <w:u w:val="single"/>
        </w:rPr>
        <w:t>u</w:t>
      </w:r>
      <w:r w:rsidRPr="00FE5448">
        <w:rPr>
          <w:rFonts w:ascii="Times New Roman" w:hAnsi="Times New Roman" w:cs="Times New Roman"/>
          <w:sz w:val="24"/>
          <w:szCs w:val="24"/>
          <w:u w:val="single"/>
        </w:rPr>
        <w:t>nder FRCP Rule 23</w:t>
      </w:r>
    </w:p>
    <w:p w:rsidR="00FE5448" w:rsidRDefault="005919A4" w:rsidP="005919A4">
      <w:pPr>
        <w:rPr>
          <w:rFonts w:ascii="Times New Roman" w:hAnsi="Times New Roman" w:cs="Times New Roman"/>
          <w:sz w:val="24"/>
          <w:szCs w:val="24"/>
        </w:rPr>
      </w:pPr>
      <w:r w:rsidRPr="007B2A66">
        <w:rPr>
          <w:rFonts w:ascii="Times New Roman" w:hAnsi="Times New Roman" w:cs="Times New Roman"/>
          <w:i/>
          <w:sz w:val="24"/>
          <w:szCs w:val="24"/>
        </w:rPr>
        <w:t>Wal-Mart Stores v. Dukes</w:t>
      </w:r>
      <w:r w:rsidR="00FE5448">
        <w:rPr>
          <w:rFonts w:ascii="Times New Roman" w:hAnsi="Times New Roman" w:cs="Times New Roman"/>
          <w:i/>
          <w:sz w:val="24"/>
          <w:szCs w:val="24"/>
        </w:rPr>
        <w:t xml:space="preserve">, </w:t>
      </w:r>
      <w:r w:rsidR="00FE5448" w:rsidRPr="00FE5448">
        <w:rPr>
          <w:rFonts w:ascii="Times New Roman" w:hAnsi="Times New Roman" w:cs="Times New Roman"/>
          <w:sz w:val="24"/>
          <w:szCs w:val="24"/>
        </w:rPr>
        <w:t>131 S. Ct. 2541 (2011)</w:t>
      </w:r>
      <w:r w:rsidRPr="00FE5448">
        <w:rPr>
          <w:rFonts w:ascii="Times New Roman" w:hAnsi="Times New Roman" w:cs="Times New Roman"/>
          <w:sz w:val="24"/>
          <w:szCs w:val="24"/>
        </w:rPr>
        <w:t>:</w:t>
      </w:r>
      <w:r w:rsidRPr="007B2A66">
        <w:rPr>
          <w:rFonts w:ascii="Times New Roman" w:hAnsi="Times New Roman" w:cs="Times New Roman"/>
          <w:i/>
          <w:sz w:val="24"/>
          <w:szCs w:val="24"/>
        </w:rPr>
        <w:t xml:space="preserve"> </w:t>
      </w:r>
      <w:r w:rsidR="00FE5448">
        <w:rPr>
          <w:rFonts w:ascii="Times New Roman" w:hAnsi="Times New Roman" w:cs="Times New Roman"/>
          <w:sz w:val="24"/>
          <w:szCs w:val="24"/>
        </w:rPr>
        <w:t xml:space="preserve"> </w:t>
      </w:r>
      <w:r w:rsidRPr="007B2A66">
        <w:rPr>
          <w:rFonts w:ascii="Times New Roman" w:hAnsi="Times New Roman" w:cs="Times New Roman"/>
          <w:sz w:val="24"/>
          <w:szCs w:val="24"/>
        </w:rPr>
        <w:t>U</w:t>
      </w:r>
      <w:r w:rsidR="00FE5448">
        <w:rPr>
          <w:rFonts w:ascii="Times New Roman" w:hAnsi="Times New Roman" w:cs="Times New Roman"/>
          <w:sz w:val="24"/>
          <w:szCs w:val="24"/>
        </w:rPr>
        <w:t>.</w:t>
      </w:r>
      <w:r w:rsidRPr="007B2A66">
        <w:rPr>
          <w:rFonts w:ascii="Times New Roman" w:hAnsi="Times New Roman" w:cs="Times New Roman"/>
          <w:sz w:val="24"/>
          <w:szCs w:val="24"/>
        </w:rPr>
        <w:t>S</w:t>
      </w:r>
      <w:r w:rsidR="00FE5448">
        <w:rPr>
          <w:rFonts w:ascii="Times New Roman" w:hAnsi="Times New Roman" w:cs="Times New Roman"/>
          <w:sz w:val="24"/>
          <w:szCs w:val="24"/>
        </w:rPr>
        <w:t>.</w:t>
      </w:r>
      <w:r w:rsidRPr="007B2A66">
        <w:rPr>
          <w:rFonts w:ascii="Times New Roman" w:hAnsi="Times New Roman" w:cs="Times New Roman"/>
          <w:sz w:val="24"/>
          <w:szCs w:val="24"/>
        </w:rPr>
        <w:t xml:space="preserve"> Supreme Court held that 1.5 million member class alleging systemic employment discrimination failed to satisfy the FRCP Rule 23(a) commonality requirement</w:t>
      </w:r>
      <w:r w:rsidR="00FE5448">
        <w:rPr>
          <w:rFonts w:ascii="Times New Roman" w:hAnsi="Times New Roman" w:cs="Times New Roman"/>
          <w:sz w:val="24"/>
          <w:szCs w:val="24"/>
        </w:rPr>
        <w:t>.  T</w:t>
      </w:r>
      <w:r w:rsidR="00FE5448" w:rsidRPr="00FE5448">
        <w:rPr>
          <w:rFonts w:ascii="Times New Roman" w:hAnsi="Times New Roman" w:cs="Times New Roman"/>
          <w:sz w:val="24"/>
          <w:szCs w:val="24"/>
        </w:rPr>
        <w:t xml:space="preserve">he </w:t>
      </w:r>
      <w:r w:rsidR="00FE5448">
        <w:rPr>
          <w:rFonts w:ascii="Times New Roman" w:hAnsi="Times New Roman" w:cs="Times New Roman"/>
          <w:sz w:val="24"/>
          <w:szCs w:val="24"/>
        </w:rPr>
        <w:t>C</w:t>
      </w:r>
      <w:r w:rsidR="00FE5448" w:rsidRPr="00FE5448">
        <w:rPr>
          <w:rFonts w:ascii="Times New Roman" w:hAnsi="Times New Roman" w:cs="Times New Roman"/>
          <w:sz w:val="24"/>
          <w:szCs w:val="24"/>
        </w:rPr>
        <w:t xml:space="preserve">ourt found that allegations that Wal-Mart had a “common” policy of permitting local managers to use discretion to make employment decisions based upon subjective factors did not satisfy the commonality requirement of Rule 23(a)(2).  In addition, </w:t>
      </w:r>
      <w:r w:rsidR="00FE5448">
        <w:rPr>
          <w:rFonts w:ascii="Times New Roman" w:hAnsi="Times New Roman" w:cs="Times New Roman"/>
          <w:sz w:val="24"/>
          <w:szCs w:val="24"/>
        </w:rPr>
        <w:t xml:space="preserve"> </w:t>
      </w:r>
      <w:r w:rsidR="00FE5448" w:rsidRPr="00FE5448">
        <w:rPr>
          <w:rFonts w:ascii="Times New Roman" w:hAnsi="Times New Roman" w:cs="Times New Roman"/>
          <w:sz w:val="24"/>
          <w:szCs w:val="24"/>
        </w:rPr>
        <w:t xml:space="preserve"> the </w:t>
      </w:r>
      <w:r w:rsidR="00FE5448">
        <w:rPr>
          <w:rFonts w:ascii="Times New Roman" w:hAnsi="Times New Roman" w:cs="Times New Roman"/>
          <w:sz w:val="24"/>
          <w:szCs w:val="24"/>
        </w:rPr>
        <w:t>C</w:t>
      </w:r>
      <w:r w:rsidR="00FE5448" w:rsidRPr="00FE5448">
        <w:rPr>
          <w:rFonts w:ascii="Times New Roman" w:hAnsi="Times New Roman" w:cs="Times New Roman"/>
          <w:sz w:val="24"/>
          <w:szCs w:val="24"/>
        </w:rPr>
        <w:t xml:space="preserve">ourt found “individual monetary claims” including for back pay, could not be certified under Rule 23(b)(2). </w:t>
      </w:r>
    </w:p>
    <w:p w:rsidR="00FE5448" w:rsidRDefault="00FE5448" w:rsidP="005919A4">
      <w:pPr>
        <w:rPr>
          <w:rFonts w:ascii="Times New Roman" w:hAnsi="Times New Roman" w:cs="Times New Roman"/>
          <w:sz w:val="24"/>
          <w:szCs w:val="24"/>
        </w:rPr>
      </w:pPr>
      <w:r w:rsidRPr="00FE5448">
        <w:rPr>
          <w:rFonts w:ascii="Times New Roman" w:hAnsi="Times New Roman" w:cs="Times New Roman"/>
          <w:i/>
          <w:sz w:val="24"/>
          <w:szCs w:val="24"/>
        </w:rPr>
        <w:t>Ellis v. Costco Wholesale Corp.</w:t>
      </w:r>
      <w:r w:rsidRPr="00FE5448">
        <w:rPr>
          <w:rFonts w:ascii="Times New Roman" w:hAnsi="Times New Roman" w:cs="Times New Roman"/>
          <w:sz w:val="24"/>
          <w:szCs w:val="24"/>
        </w:rPr>
        <w:t xml:space="preserve">, 657 F.3d 970 (9th Cir. </w:t>
      </w:r>
      <w:r>
        <w:rPr>
          <w:rFonts w:ascii="Times New Roman" w:hAnsi="Times New Roman" w:cs="Times New Roman"/>
          <w:sz w:val="24"/>
          <w:szCs w:val="24"/>
        </w:rPr>
        <w:t>20</w:t>
      </w:r>
      <w:r w:rsidRPr="00FE5448">
        <w:rPr>
          <w:rFonts w:ascii="Times New Roman" w:hAnsi="Times New Roman" w:cs="Times New Roman"/>
          <w:sz w:val="24"/>
          <w:szCs w:val="24"/>
        </w:rPr>
        <w:t>11)</w:t>
      </w:r>
      <w:r>
        <w:rPr>
          <w:rFonts w:ascii="Times New Roman" w:hAnsi="Times New Roman" w:cs="Times New Roman"/>
          <w:sz w:val="24"/>
          <w:szCs w:val="24"/>
        </w:rPr>
        <w:t xml:space="preserve">: </w:t>
      </w:r>
      <w:r w:rsidRPr="00FE5448">
        <w:rPr>
          <w:rFonts w:ascii="Times New Roman" w:hAnsi="Times New Roman" w:cs="Times New Roman"/>
          <w:sz w:val="24"/>
          <w:szCs w:val="24"/>
        </w:rPr>
        <w:t>Costco appeal</w:t>
      </w:r>
      <w:r>
        <w:rPr>
          <w:rFonts w:ascii="Times New Roman" w:hAnsi="Times New Roman" w:cs="Times New Roman"/>
          <w:sz w:val="24"/>
          <w:szCs w:val="24"/>
        </w:rPr>
        <w:t>ed</w:t>
      </w:r>
      <w:r w:rsidRPr="00FE5448">
        <w:rPr>
          <w:rFonts w:ascii="Times New Roman" w:hAnsi="Times New Roman" w:cs="Times New Roman"/>
          <w:sz w:val="24"/>
          <w:szCs w:val="24"/>
        </w:rPr>
        <w:t xml:space="preserve"> the district court's order granting class certification</w:t>
      </w:r>
      <w:r>
        <w:rPr>
          <w:rFonts w:ascii="Times New Roman" w:hAnsi="Times New Roman" w:cs="Times New Roman"/>
          <w:sz w:val="24"/>
          <w:szCs w:val="24"/>
        </w:rPr>
        <w:t>.  The</w:t>
      </w:r>
      <w:r w:rsidRPr="00FE5448">
        <w:rPr>
          <w:rFonts w:ascii="Times New Roman" w:hAnsi="Times New Roman" w:cs="Times New Roman"/>
          <w:sz w:val="24"/>
          <w:szCs w:val="24"/>
        </w:rPr>
        <w:t xml:space="preserve"> Ninth Circuit reviewed the standards for class certification following the U.S. Supreme Court’s decision in </w:t>
      </w:r>
      <w:r w:rsidRPr="00FE5448">
        <w:rPr>
          <w:rFonts w:ascii="Times New Roman" w:hAnsi="Times New Roman" w:cs="Times New Roman"/>
          <w:i/>
          <w:sz w:val="24"/>
          <w:szCs w:val="24"/>
        </w:rPr>
        <w:t>Wal-Mart Stores v. Dukes</w:t>
      </w:r>
      <w:r>
        <w:rPr>
          <w:rFonts w:ascii="Times New Roman" w:hAnsi="Times New Roman" w:cs="Times New Roman"/>
          <w:sz w:val="24"/>
          <w:szCs w:val="24"/>
        </w:rPr>
        <w:t xml:space="preserve">.  </w:t>
      </w:r>
      <w:r w:rsidRPr="00FE5448">
        <w:rPr>
          <w:rFonts w:ascii="Times New Roman" w:hAnsi="Times New Roman" w:cs="Times New Roman"/>
          <w:sz w:val="24"/>
          <w:szCs w:val="24"/>
        </w:rPr>
        <w:t>The result was affirm</w:t>
      </w:r>
      <w:r>
        <w:rPr>
          <w:rFonts w:ascii="Times New Roman" w:hAnsi="Times New Roman" w:cs="Times New Roman"/>
          <w:sz w:val="24"/>
          <w:szCs w:val="24"/>
        </w:rPr>
        <w:t>ance</w:t>
      </w:r>
      <w:r w:rsidRPr="00FE5448">
        <w:rPr>
          <w:rFonts w:ascii="Times New Roman" w:hAnsi="Times New Roman" w:cs="Times New Roman"/>
          <w:sz w:val="24"/>
          <w:szCs w:val="24"/>
        </w:rPr>
        <w:t xml:space="preserve"> as to some </w:t>
      </w:r>
      <w:r>
        <w:rPr>
          <w:rFonts w:ascii="Times New Roman" w:hAnsi="Times New Roman" w:cs="Times New Roman"/>
          <w:sz w:val="24"/>
          <w:szCs w:val="24"/>
        </w:rPr>
        <w:t xml:space="preserve">class </w:t>
      </w:r>
      <w:r w:rsidRPr="00FE5448">
        <w:rPr>
          <w:rFonts w:ascii="Times New Roman" w:hAnsi="Times New Roman" w:cs="Times New Roman"/>
          <w:sz w:val="24"/>
          <w:szCs w:val="24"/>
        </w:rPr>
        <w:t xml:space="preserve">certification findings </w:t>
      </w:r>
      <w:r>
        <w:rPr>
          <w:rFonts w:ascii="Times New Roman" w:hAnsi="Times New Roman" w:cs="Times New Roman"/>
          <w:sz w:val="24"/>
          <w:szCs w:val="24"/>
        </w:rPr>
        <w:t xml:space="preserve">by the district court, </w:t>
      </w:r>
      <w:r w:rsidRPr="00FE5448">
        <w:rPr>
          <w:rFonts w:ascii="Times New Roman" w:hAnsi="Times New Roman" w:cs="Times New Roman"/>
          <w:sz w:val="24"/>
          <w:szCs w:val="24"/>
        </w:rPr>
        <w:t>but vacat</w:t>
      </w:r>
      <w:r>
        <w:rPr>
          <w:rFonts w:ascii="Times New Roman" w:hAnsi="Times New Roman" w:cs="Times New Roman"/>
          <w:sz w:val="24"/>
          <w:szCs w:val="24"/>
        </w:rPr>
        <w:t>ion</w:t>
      </w:r>
      <w:r w:rsidRPr="00FE5448">
        <w:rPr>
          <w:rFonts w:ascii="Times New Roman" w:hAnsi="Times New Roman" w:cs="Times New Roman"/>
          <w:sz w:val="24"/>
          <w:szCs w:val="24"/>
        </w:rPr>
        <w:t xml:space="preserve"> and remand as to others.  The </w:t>
      </w:r>
      <w:r>
        <w:rPr>
          <w:rFonts w:ascii="Times New Roman" w:hAnsi="Times New Roman" w:cs="Times New Roman"/>
          <w:sz w:val="24"/>
          <w:szCs w:val="24"/>
        </w:rPr>
        <w:t>C</w:t>
      </w:r>
      <w:r w:rsidRPr="00FE5448">
        <w:rPr>
          <w:rFonts w:ascii="Times New Roman" w:hAnsi="Times New Roman" w:cs="Times New Roman"/>
          <w:sz w:val="24"/>
          <w:szCs w:val="24"/>
        </w:rPr>
        <w:t xml:space="preserve">ourt held that when evaluating class certification issues, a district court must consider the merits of class members’ substantive claims to the extent they overlap with the class certification issues. </w:t>
      </w:r>
    </w:p>
    <w:p w:rsidR="00FE5448" w:rsidRPr="00FE5448" w:rsidRDefault="00FE5448" w:rsidP="00FE5448">
      <w:pPr>
        <w:rPr>
          <w:rFonts w:ascii="Times New Roman" w:hAnsi="Times New Roman" w:cs="Times New Roman"/>
          <w:sz w:val="24"/>
          <w:szCs w:val="24"/>
          <w:u w:val="single"/>
        </w:rPr>
      </w:pPr>
      <w:r w:rsidRPr="00FE5448">
        <w:rPr>
          <w:rFonts w:ascii="Times New Roman" w:hAnsi="Times New Roman" w:cs="Times New Roman"/>
          <w:sz w:val="24"/>
          <w:szCs w:val="24"/>
          <w:u w:val="single"/>
        </w:rPr>
        <w:t>Major Difference between Wage Law Class Action Brought under the Fair Labor Standards Act (FLSA) and California law</w:t>
      </w:r>
    </w:p>
    <w:p w:rsidR="00FE5448" w:rsidRDefault="00FE5448" w:rsidP="00FE5448">
      <w:pPr>
        <w:rPr>
          <w:rFonts w:ascii="Times New Roman" w:hAnsi="Times New Roman" w:cs="Times New Roman"/>
          <w:sz w:val="24"/>
          <w:szCs w:val="24"/>
        </w:rPr>
      </w:pPr>
      <w:r w:rsidRPr="00FE5448">
        <w:rPr>
          <w:rFonts w:ascii="Times New Roman" w:hAnsi="Times New Roman" w:cs="Times New Roman"/>
          <w:sz w:val="24"/>
          <w:szCs w:val="24"/>
        </w:rPr>
        <w:t xml:space="preserve">Federal and State wage and hour claims continue to be in forefront of employee class actions.  Accordingly, the Fair Labor Standards Act </w:t>
      </w:r>
      <w:r>
        <w:rPr>
          <w:rFonts w:ascii="Times New Roman" w:hAnsi="Times New Roman" w:cs="Times New Roman"/>
          <w:sz w:val="24"/>
          <w:szCs w:val="24"/>
        </w:rPr>
        <w:t xml:space="preserve"> </w:t>
      </w:r>
      <w:r w:rsidRPr="00FE5448">
        <w:rPr>
          <w:rFonts w:ascii="Times New Roman" w:hAnsi="Times New Roman" w:cs="Times New Roman"/>
          <w:sz w:val="24"/>
          <w:szCs w:val="24"/>
        </w:rPr>
        <w:t xml:space="preserve"> and State law wage and hour claims continue to drive legal developments in the employment class and collective actions.  There is a  major procedural difference between class actions brought under  FLSA section 216(b) and analogous claims brought under California law.  FRCP Rule 23 governs employment class actions in federal court except for violations of  the FLSA ( as well as the Age Discrimination in Employment Act and the Equal Pay Act</w:t>
      </w:r>
      <w:r>
        <w:rPr>
          <w:rFonts w:ascii="Times New Roman" w:hAnsi="Times New Roman" w:cs="Times New Roman"/>
          <w:sz w:val="24"/>
          <w:szCs w:val="24"/>
        </w:rPr>
        <w:t>)</w:t>
      </w:r>
      <w:r w:rsidRPr="00FE5448">
        <w:rPr>
          <w:rFonts w:ascii="Times New Roman" w:hAnsi="Times New Roman" w:cs="Times New Roman"/>
          <w:sz w:val="24"/>
          <w:szCs w:val="24"/>
        </w:rPr>
        <w:t xml:space="preserve">, which must be brought as collective actions under Section 216(b) of the FLSA.   In FLSA collective actions, individuals who fall within the class definition must “opt in” if they want to be part of the lawsuit.  </w:t>
      </w:r>
      <w:r>
        <w:rPr>
          <w:rFonts w:ascii="Times New Roman" w:hAnsi="Times New Roman" w:cs="Times New Roman"/>
          <w:sz w:val="24"/>
          <w:szCs w:val="24"/>
        </w:rPr>
        <w:t>Under</w:t>
      </w:r>
      <w:r w:rsidRPr="00FE5448">
        <w:rPr>
          <w:rFonts w:ascii="Times New Roman" w:hAnsi="Times New Roman" w:cs="Times New Roman"/>
          <w:sz w:val="24"/>
          <w:szCs w:val="24"/>
        </w:rPr>
        <w:t xml:space="preserve"> California law and  FRCP Rule 23  class action</w:t>
      </w:r>
      <w:r>
        <w:rPr>
          <w:rFonts w:ascii="Times New Roman" w:hAnsi="Times New Roman" w:cs="Times New Roman"/>
          <w:sz w:val="24"/>
          <w:szCs w:val="24"/>
        </w:rPr>
        <w:t xml:space="preserve"> </w:t>
      </w:r>
      <w:r w:rsidRPr="00FE5448">
        <w:rPr>
          <w:rFonts w:ascii="Times New Roman" w:hAnsi="Times New Roman" w:cs="Times New Roman"/>
          <w:sz w:val="24"/>
          <w:szCs w:val="24"/>
        </w:rPr>
        <w:t>plaintiffs need to “opt out” in order to avoid being part of the</w:t>
      </w:r>
      <w:r>
        <w:rPr>
          <w:rFonts w:ascii="Times New Roman" w:hAnsi="Times New Roman" w:cs="Times New Roman"/>
          <w:sz w:val="24"/>
          <w:szCs w:val="24"/>
        </w:rPr>
        <w:t xml:space="preserve"> certified</w:t>
      </w:r>
      <w:r w:rsidRPr="00FE5448">
        <w:rPr>
          <w:rFonts w:ascii="Times New Roman" w:hAnsi="Times New Roman" w:cs="Times New Roman"/>
          <w:sz w:val="24"/>
          <w:szCs w:val="24"/>
        </w:rPr>
        <w:t xml:space="preserve"> class.</w:t>
      </w:r>
    </w:p>
    <w:p w:rsidR="005919A4" w:rsidRDefault="005919A4" w:rsidP="005919A4">
      <w:pPr>
        <w:rPr>
          <w:rFonts w:ascii="Times New Roman" w:hAnsi="Times New Roman" w:cs="Times New Roman"/>
          <w:b/>
          <w:sz w:val="32"/>
          <w:szCs w:val="32"/>
          <w:u w:val="single"/>
        </w:rPr>
      </w:pPr>
      <w:r w:rsidRPr="007B2A66">
        <w:rPr>
          <w:rFonts w:ascii="Times New Roman" w:hAnsi="Times New Roman" w:cs="Times New Roman"/>
          <w:b/>
          <w:sz w:val="32"/>
          <w:szCs w:val="32"/>
        </w:rPr>
        <w:t>4.</w:t>
      </w:r>
      <w:r w:rsidRPr="007B2A66">
        <w:rPr>
          <w:rFonts w:ascii="Times New Roman" w:hAnsi="Times New Roman" w:cs="Times New Roman"/>
          <w:b/>
          <w:sz w:val="32"/>
          <w:szCs w:val="32"/>
        </w:rPr>
        <w:tab/>
      </w:r>
      <w:r w:rsidRPr="007B2A66">
        <w:rPr>
          <w:rFonts w:ascii="Times New Roman" w:hAnsi="Times New Roman" w:cs="Times New Roman"/>
          <w:b/>
          <w:sz w:val="32"/>
          <w:szCs w:val="32"/>
          <w:u w:val="single"/>
        </w:rPr>
        <w:t xml:space="preserve">RETALIATION </w:t>
      </w:r>
      <w:r w:rsidR="00FE5448">
        <w:rPr>
          <w:rFonts w:ascii="Times New Roman" w:hAnsi="Times New Roman" w:cs="Times New Roman"/>
          <w:b/>
          <w:sz w:val="32"/>
          <w:szCs w:val="32"/>
          <w:u w:val="single"/>
        </w:rPr>
        <w:t>CLAIMS</w:t>
      </w:r>
    </w:p>
    <w:p w:rsidR="00FE5448" w:rsidRPr="00FE5448" w:rsidRDefault="00FE5448" w:rsidP="00FE5448">
      <w:pPr>
        <w:rPr>
          <w:rFonts w:ascii="Times New Roman" w:hAnsi="Times New Roman" w:cs="Times New Roman"/>
          <w:sz w:val="24"/>
          <w:szCs w:val="24"/>
        </w:rPr>
      </w:pPr>
      <w:r w:rsidRPr="00FE5448">
        <w:rPr>
          <w:rFonts w:ascii="Times New Roman" w:hAnsi="Times New Roman" w:cs="Times New Roman"/>
          <w:sz w:val="24"/>
          <w:szCs w:val="24"/>
        </w:rPr>
        <w:t xml:space="preserve">Most federal and State employment legislation make it illegal for an employer to retaliate  against applicants or employees because they asserted their statutory rights.  Employee actions protected against retaliation can include complaining that an employer has violated the law, participating in an investigation, or filing a complaint with a governmental agency.  Retaliation claims are viable even if the underlying employer conduct that was the basis for the complaint  is found to be without merit.. As long as an individual has a reasonable and good faith belief that he is complaining of illegal conduct, he is engaging in protected activity. </w:t>
      </w:r>
    </w:p>
    <w:p w:rsidR="00FE5448" w:rsidRPr="00FE5448" w:rsidRDefault="00FE5448" w:rsidP="00FE5448">
      <w:pPr>
        <w:rPr>
          <w:rFonts w:ascii="Times New Roman" w:hAnsi="Times New Roman" w:cs="Times New Roman"/>
          <w:sz w:val="24"/>
          <w:szCs w:val="24"/>
          <w:u w:val="single"/>
        </w:rPr>
      </w:pPr>
      <w:r w:rsidRPr="00FE5448">
        <w:rPr>
          <w:rFonts w:ascii="Times New Roman" w:hAnsi="Times New Roman" w:cs="Times New Roman"/>
          <w:sz w:val="24"/>
          <w:szCs w:val="24"/>
          <w:u w:val="single"/>
        </w:rPr>
        <w:t xml:space="preserve">Recent U.S. Supreme Court </w:t>
      </w:r>
      <w:r>
        <w:rPr>
          <w:rFonts w:ascii="Times New Roman" w:hAnsi="Times New Roman" w:cs="Times New Roman"/>
          <w:sz w:val="24"/>
          <w:szCs w:val="24"/>
          <w:u w:val="single"/>
        </w:rPr>
        <w:t>D</w:t>
      </w:r>
      <w:r w:rsidRPr="00FE5448">
        <w:rPr>
          <w:rFonts w:ascii="Times New Roman" w:hAnsi="Times New Roman" w:cs="Times New Roman"/>
          <w:sz w:val="24"/>
          <w:szCs w:val="24"/>
          <w:u w:val="single"/>
        </w:rPr>
        <w:t>ecisions in Retaliation Cases</w:t>
      </w:r>
    </w:p>
    <w:p w:rsidR="00FE5448" w:rsidRPr="00FE5448" w:rsidRDefault="00FE5448" w:rsidP="00FE5448">
      <w:pPr>
        <w:rPr>
          <w:rFonts w:ascii="Times New Roman" w:hAnsi="Times New Roman" w:cs="Times New Roman"/>
          <w:sz w:val="24"/>
          <w:szCs w:val="24"/>
        </w:rPr>
      </w:pPr>
      <w:r w:rsidRPr="00FE5448">
        <w:rPr>
          <w:rFonts w:ascii="Times New Roman" w:hAnsi="Times New Roman" w:cs="Times New Roman"/>
          <w:i/>
          <w:sz w:val="24"/>
          <w:szCs w:val="24"/>
        </w:rPr>
        <w:t>Thompson v. North American Stainless, LP</w:t>
      </w:r>
      <w:r>
        <w:rPr>
          <w:rFonts w:ascii="Times New Roman" w:hAnsi="Times New Roman" w:cs="Times New Roman"/>
          <w:sz w:val="24"/>
          <w:szCs w:val="24"/>
        </w:rPr>
        <w:t>,</w:t>
      </w:r>
      <w:r w:rsidRPr="00FE5448">
        <w:t xml:space="preserve"> </w:t>
      </w:r>
      <w:r w:rsidRPr="00FE5448">
        <w:rPr>
          <w:rFonts w:ascii="Times New Roman" w:hAnsi="Times New Roman" w:cs="Times New Roman"/>
          <w:sz w:val="24"/>
          <w:szCs w:val="24"/>
        </w:rPr>
        <w:t>131 S. Ct</w:t>
      </w:r>
      <w:r>
        <w:rPr>
          <w:rFonts w:ascii="Times New Roman" w:hAnsi="Times New Roman" w:cs="Times New Roman"/>
          <w:sz w:val="24"/>
          <w:szCs w:val="24"/>
        </w:rPr>
        <w:t>.</w:t>
      </w:r>
      <w:r w:rsidRPr="00FE5448">
        <w:rPr>
          <w:rFonts w:ascii="Times New Roman" w:hAnsi="Times New Roman" w:cs="Times New Roman"/>
          <w:sz w:val="24"/>
          <w:szCs w:val="24"/>
        </w:rPr>
        <w:t xml:space="preserve"> 863 (2011</w:t>
      </w:r>
      <w:r>
        <w:rPr>
          <w:rFonts w:ascii="Times New Roman" w:hAnsi="Times New Roman" w:cs="Times New Roman"/>
          <w:sz w:val="24"/>
          <w:szCs w:val="24"/>
        </w:rPr>
        <w:t>)</w:t>
      </w:r>
      <w:r w:rsidRPr="00FE5448">
        <w:rPr>
          <w:rFonts w:ascii="Times New Roman" w:hAnsi="Times New Roman" w:cs="Times New Roman"/>
          <w:sz w:val="24"/>
          <w:szCs w:val="24"/>
        </w:rPr>
        <w:t>:  U</w:t>
      </w:r>
      <w:r>
        <w:rPr>
          <w:rFonts w:ascii="Times New Roman" w:hAnsi="Times New Roman" w:cs="Times New Roman"/>
          <w:sz w:val="24"/>
          <w:szCs w:val="24"/>
        </w:rPr>
        <w:t>.</w:t>
      </w:r>
      <w:r w:rsidRPr="00FE5448">
        <w:rPr>
          <w:rFonts w:ascii="Times New Roman" w:hAnsi="Times New Roman" w:cs="Times New Roman"/>
          <w:sz w:val="24"/>
          <w:szCs w:val="24"/>
        </w:rPr>
        <w:t>S</w:t>
      </w:r>
      <w:r>
        <w:rPr>
          <w:rFonts w:ascii="Times New Roman" w:hAnsi="Times New Roman" w:cs="Times New Roman"/>
          <w:sz w:val="24"/>
          <w:szCs w:val="24"/>
        </w:rPr>
        <w:t>.</w:t>
      </w:r>
      <w:r w:rsidRPr="00FE5448">
        <w:rPr>
          <w:rFonts w:ascii="Times New Roman" w:hAnsi="Times New Roman" w:cs="Times New Roman"/>
          <w:sz w:val="24"/>
          <w:szCs w:val="24"/>
        </w:rPr>
        <w:t xml:space="preserve"> Supreme Court held Title VII of the Civil Right Act creates a cause of action for third-party retaliation for persons who did not themselves engage in protected activity</w:t>
      </w:r>
      <w:r>
        <w:rPr>
          <w:rFonts w:ascii="Times New Roman" w:hAnsi="Times New Roman" w:cs="Times New Roman"/>
          <w:sz w:val="24"/>
          <w:szCs w:val="24"/>
        </w:rPr>
        <w:t>.</w:t>
      </w:r>
    </w:p>
    <w:p w:rsidR="00FE5448" w:rsidRPr="007B2A66" w:rsidRDefault="00FE5448" w:rsidP="005919A4">
      <w:pPr>
        <w:rPr>
          <w:rFonts w:ascii="Times New Roman" w:hAnsi="Times New Roman" w:cs="Times New Roman"/>
          <w:b/>
          <w:sz w:val="32"/>
          <w:szCs w:val="32"/>
          <w:u w:val="single"/>
        </w:rPr>
      </w:pPr>
      <w:r w:rsidRPr="00FE5448">
        <w:rPr>
          <w:rFonts w:ascii="Times New Roman" w:hAnsi="Times New Roman" w:cs="Times New Roman"/>
          <w:i/>
          <w:sz w:val="24"/>
          <w:szCs w:val="24"/>
        </w:rPr>
        <w:t>Kasten v. Saint-Gobain Performance Plastics Corp</w:t>
      </w:r>
      <w:r>
        <w:rPr>
          <w:rFonts w:ascii="Times New Roman" w:hAnsi="Times New Roman" w:cs="Times New Roman"/>
          <w:sz w:val="24"/>
          <w:szCs w:val="24"/>
        </w:rPr>
        <w:t xml:space="preserve">., </w:t>
      </w:r>
      <w:r w:rsidRPr="00FE5448">
        <w:rPr>
          <w:rFonts w:ascii="Times New Roman" w:hAnsi="Times New Roman" w:cs="Times New Roman"/>
          <w:sz w:val="24"/>
          <w:szCs w:val="24"/>
        </w:rPr>
        <w:t xml:space="preserve">131 S.Ct. 1325 </w:t>
      </w:r>
      <w:r>
        <w:rPr>
          <w:rFonts w:ascii="Times New Roman" w:hAnsi="Times New Roman" w:cs="Times New Roman"/>
          <w:sz w:val="24"/>
          <w:szCs w:val="24"/>
        </w:rPr>
        <w:t>(2011)</w:t>
      </w:r>
      <w:r w:rsidRPr="00FE5448">
        <w:rPr>
          <w:rFonts w:ascii="Times New Roman" w:hAnsi="Times New Roman" w:cs="Times New Roman"/>
          <w:sz w:val="24"/>
          <w:szCs w:val="24"/>
        </w:rPr>
        <w:t>: US Supreme Court held that an oral complaint can be protected conduct under FLSA's anti-retaliation provision</w:t>
      </w:r>
      <w:r>
        <w:rPr>
          <w:rFonts w:ascii="Times New Roman" w:hAnsi="Times New Roman" w:cs="Times New Roman"/>
          <w:sz w:val="24"/>
          <w:szCs w:val="24"/>
        </w:rPr>
        <w:t>.</w:t>
      </w:r>
    </w:p>
    <w:p w:rsidR="00AE49AB" w:rsidRPr="007B2A66" w:rsidRDefault="00AE49AB" w:rsidP="005919A4">
      <w:pPr>
        <w:rPr>
          <w:rFonts w:ascii="Times New Roman" w:hAnsi="Times New Roman" w:cs="Times New Roman"/>
          <w:b/>
          <w:sz w:val="32"/>
          <w:szCs w:val="32"/>
          <w:u w:val="single"/>
        </w:rPr>
      </w:pPr>
      <w:r w:rsidRPr="007B2A66">
        <w:rPr>
          <w:rFonts w:ascii="Times New Roman" w:hAnsi="Times New Roman" w:cs="Times New Roman"/>
          <w:b/>
          <w:sz w:val="32"/>
          <w:szCs w:val="32"/>
        </w:rPr>
        <w:t>5.</w:t>
      </w:r>
      <w:r w:rsidR="007B2A66" w:rsidRPr="007B2A66">
        <w:rPr>
          <w:rFonts w:ascii="Times New Roman" w:hAnsi="Times New Roman" w:cs="Times New Roman"/>
          <w:b/>
          <w:sz w:val="32"/>
          <w:szCs w:val="32"/>
        </w:rPr>
        <w:tab/>
      </w:r>
      <w:r w:rsidRPr="007B2A66">
        <w:rPr>
          <w:rFonts w:ascii="Times New Roman" w:hAnsi="Times New Roman" w:cs="Times New Roman"/>
          <w:b/>
          <w:sz w:val="32"/>
          <w:szCs w:val="32"/>
          <w:u w:val="single"/>
        </w:rPr>
        <w:t xml:space="preserve"> NLRB</w:t>
      </w:r>
      <w:r w:rsidR="00FE5448">
        <w:rPr>
          <w:rFonts w:ascii="Times New Roman" w:hAnsi="Times New Roman" w:cs="Times New Roman"/>
          <w:b/>
          <w:sz w:val="32"/>
          <w:szCs w:val="32"/>
          <w:u w:val="single"/>
        </w:rPr>
        <w:t xml:space="preserve"> DECISIONS AFFECTING EMPLOYMENT POLICIES OF NON-UNION EMPLOYERS</w:t>
      </w:r>
    </w:p>
    <w:p w:rsidR="007B2A66" w:rsidRPr="007B2A66" w:rsidRDefault="007B2A66" w:rsidP="005919A4">
      <w:pPr>
        <w:rPr>
          <w:rFonts w:ascii="Times New Roman" w:hAnsi="Times New Roman" w:cs="Times New Roman"/>
          <w:sz w:val="24"/>
          <w:szCs w:val="24"/>
        </w:rPr>
      </w:pPr>
      <w:r w:rsidRPr="007B2A66">
        <w:rPr>
          <w:rFonts w:ascii="Times New Roman" w:hAnsi="Times New Roman" w:cs="Times New Roman"/>
          <w:sz w:val="24"/>
          <w:szCs w:val="24"/>
        </w:rPr>
        <w:t>The National Labor Relations Board appears to be  expanding its enforcement efforts beyond the traditional unionized workplace in its efforts to determine the scope of non-unionized employees’ rights under section 7 of the National Labor Relations Act.</w:t>
      </w:r>
      <w:r w:rsidR="00FE5448">
        <w:rPr>
          <w:rFonts w:ascii="Times New Roman" w:hAnsi="Times New Roman" w:cs="Times New Roman"/>
          <w:sz w:val="24"/>
          <w:szCs w:val="24"/>
        </w:rPr>
        <w:t xml:space="preserve"> Three recent rulings are illustrative:</w:t>
      </w:r>
    </w:p>
    <w:p w:rsidR="00FE5448" w:rsidRPr="007B2A66" w:rsidRDefault="00FE5448" w:rsidP="007B2A66">
      <w:pPr>
        <w:rPr>
          <w:rFonts w:ascii="Times New Roman" w:hAnsi="Times New Roman" w:cs="Times New Roman"/>
          <w:sz w:val="24"/>
          <w:szCs w:val="24"/>
        </w:rPr>
      </w:pPr>
      <w:r w:rsidRPr="00FE5448">
        <w:rPr>
          <w:rFonts w:ascii="Times New Roman" w:hAnsi="Times New Roman" w:cs="Times New Roman"/>
          <w:i/>
          <w:sz w:val="24"/>
          <w:szCs w:val="24"/>
        </w:rPr>
        <w:t>Banner Health Systems</w:t>
      </w:r>
      <w:r w:rsidRPr="00FE5448">
        <w:rPr>
          <w:rFonts w:ascii="Times New Roman" w:hAnsi="Times New Roman" w:cs="Times New Roman"/>
          <w:sz w:val="24"/>
          <w:szCs w:val="24"/>
        </w:rPr>
        <w:t>, 358 NLRB 93 (2012)</w:t>
      </w:r>
      <w:r>
        <w:rPr>
          <w:rFonts w:ascii="Times New Roman" w:hAnsi="Times New Roman" w:cs="Times New Roman"/>
          <w:sz w:val="24"/>
          <w:szCs w:val="24"/>
        </w:rPr>
        <w:t>: T</w:t>
      </w:r>
      <w:r w:rsidRPr="00FE5448">
        <w:rPr>
          <w:rFonts w:ascii="Times New Roman" w:hAnsi="Times New Roman" w:cs="Times New Roman"/>
          <w:sz w:val="24"/>
          <w:szCs w:val="24"/>
        </w:rPr>
        <w:t>he National Labor Relations Board ("NLRB") declared that a blanket statement to employees that the contents of a complaint and/or investigation should not be discussed with co-workers was in violation of Section 8(a)(1) of the National Labor Relations Act ("NLRA") as restrictive of an employee's rights arising under Section 7 of the NLRA.</w:t>
      </w:r>
    </w:p>
    <w:p w:rsidR="00FE5448" w:rsidRDefault="00FE5448" w:rsidP="007B2A66">
      <w:pPr>
        <w:rPr>
          <w:rFonts w:ascii="Times New Roman" w:hAnsi="Times New Roman" w:cs="Times New Roman"/>
          <w:sz w:val="24"/>
          <w:szCs w:val="24"/>
        </w:rPr>
      </w:pPr>
      <w:r w:rsidRPr="00FE5448">
        <w:rPr>
          <w:rFonts w:ascii="Times New Roman" w:hAnsi="Times New Roman" w:cs="Times New Roman"/>
          <w:i/>
          <w:sz w:val="24"/>
          <w:szCs w:val="24"/>
        </w:rPr>
        <w:t>American Red Cross Arizona Blood Services Region</w:t>
      </w:r>
      <w:r w:rsidRPr="00FE5448">
        <w:rPr>
          <w:rFonts w:ascii="Times New Roman" w:hAnsi="Times New Roman" w:cs="Times New Roman"/>
          <w:sz w:val="24"/>
          <w:szCs w:val="24"/>
        </w:rPr>
        <w:t>, Case 28-CA-23443, (2012)</w:t>
      </w:r>
      <w:r>
        <w:rPr>
          <w:rFonts w:ascii="Times New Roman" w:hAnsi="Times New Roman" w:cs="Times New Roman"/>
          <w:sz w:val="24"/>
          <w:szCs w:val="24"/>
        </w:rPr>
        <w:t>:</w:t>
      </w:r>
      <w:r w:rsidRPr="00FE54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E5448">
        <w:rPr>
          <w:rFonts w:ascii="Times New Roman" w:hAnsi="Times New Roman" w:cs="Times New Roman"/>
          <w:sz w:val="24"/>
          <w:szCs w:val="24"/>
        </w:rPr>
        <w:t xml:space="preserve">NLRB Administrative Law Judge held that </w:t>
      </w:r>
      <w:r>
        <w:rPr>
          <w:rFonts w:ascii="Times New Roman" w:hAnsi="Times New Roman" w:cs="Times New Roman"/>
          <w:sz w:val="24"/>
          <w:szCs w:val="24"/>
        </w:rPr>
        <w:t>the at will disclaimer</w:t>
      </w:r>
      <w:r w:rsidRPr="00FE5448">
        <w:rPr>
          <w:rFonts w:ascii="Times New Roman" w:hAnsi="Times New Roman" w:cs="Times New Roman"/>
          <w:sz w:val="24"/>
          <w:szCs w:val="24"/>
        </w:rPr>
        <w:t xml:space="preserve"> statement in an employee handbook acknowledgment form </w:t>
      </w:r>
      <w:r>
        <w:rPr>
          <w:rFonts w:ascii="Times New Roman" w:hAnsi="Times New Roman" w:cs="Times New Roman"/>
          <w:sz w:val="24"/>
          <w:szCs w:val="24"/>
        </w:rPr>
        <w:t>that “</w:t>
      </w:r>
      <w:r w:rsidRPr="00FE5448">
        <w:rPr>
          <w:rFonts w:ascii="Times New Roman" w:hAnsi="Times New Roman" w:cs="Times New Roman"/>
          <w:sz w:val="24"/>
          <w:szCs w:val="24"/>
        </w:rPr>
        <w:t>I further agree that the at-will employment relationship cannot be amended, modified or altered in any way</w:t>
      </w:r>
      <w:r>
        <w:rPr>
          <w:rFonts w:ascii="Times New Roman" w:hAnsi="Times New Roman" w:cs="Times New Roman"/>
          <w:sz w:val="24"/>
          <w:szCs w:val="24"/>
        </w:rPr>
        <w:t>,</w:t>
      </w:r>
      <w:r w:rsidRPr="00FE5448">
        <w:rPr>
          <w:rFonts w:ascii="Times New Roman" w:hAnsi="Times New Roman" w:cs="Times New Roman"/>
          <w:sz w:val="24"/>
          <w:szCs w:val="24"/>
        </w:rPr>
        <w:t xml:space="preserve">" was in violation of Section 8(a)(1) of the NLRA as restrictive of an employee's rights arising under Section 7 of the NLRA. </w:t>
      </w:r>
    </w:p>
    <w:p w:rsidR="00FE5448" w:rsidRPr="00FE5448" w:rsidRDefault="00FE5448" w:rsidP="00FE5448">
      <w:pPr>
        <w:rPr>
          <w:rFonts w:ascii="Times New Roman" w:hAnsi="Times New Roman" w:cs="Times New Roman"/>
          <w:sz w:val="24"/>
          <w:szCs w:val="24"/>
        </w:rPr>
      </w:pPr>
      <w:r w:rsidRPr="00FE5448">
        <w:rPr>
          <w:rFonts w:ascii="Times New Roman" w:hAnsi="Times New Roman" w:cs="Times New Roman"/>
          <w:i/>
          <w:sz w:val="24"/>
          <w:szCs w:val="24"/>
        </w:rPr>
        <w:t>D.R. Horton, Inc.</w:t>
      </w:r>
      <w:r w:rsidRPr="00FE5448">
        <w:rPr>
          <w:rFonts w:ascii="Times New Roman" w:hAnsi="Times New Roman" w:cs="Times New Roman"/>
          <w:sz w:val="24"/>
          <w:szCs w:val="24"/>
        </w:rPr>
        <w:t>, 357 NLRB No. 184 (2012):  NLRB held that an employer violated the NLRA by requiring its employees to sign an agreement precluding them from filing in any forum – arbitral or judicial – joint, class, or collective claims relating to wages, hours or other working conditions.</w:t>
      </w:r>
      <w:r>
        <w:rPr>
          <w:rFonts w:ascii="Times New Roman" w:hAnsi="Times New Roman" w:cs="Times New Roman"/>
          <w:sz w:val="24"/>
          <w:szCs w:val="24"/>
        </w:rPr>
        <w:t xml:space="preserve">  But </w:t>
      </w:r>
      <w:r w:rsidRPr="00FE5448">
        <w:rPr>
          <w:rFonts w:ascii="Times New Roman" w:hAnsi="Times New Roman" w:cs="Times New Roman"/>
          <w:i/>
          <w:sz w:val="24"/>
          <w:szCs w:val="24"/>
        </w:rPr>
        <w:t>see Nelsen v. Legacy Partners Residential, Inc.</w:t>
      </w:r>
      <w:r w:rsidRPr="00FE5448">
        <w:rPr>
          <w:rFonts w:ascii="Times New Roman" w:hAnsi="Times New Roman" w:cs="Times New Roman"/>
          <w:sz w:val="24"/>
          <w:szCs w:val="24"/>
        </w:rPr>
        <w:t xml:space="preserve">, </w:t>
      </w:r>
      <w:r>
        <w:rPr>
          <w:rFonts w:ascii="Times New Roman" w:hAnsi="Times New Roman" w:cs="Times New Roman"/>
          <w:sz w:val="24"/>
          <w:szCs w:val="24"/>
        </w:rPr>
        <w:t>__ Cal. App. 4</w:t>
      </w:r>
      <w:r w:rsidRPr="00FE5448">
        <w:rPr>
          <w:rFonts w:ascii="Times New Roman" w:hAnsi="Times New Roman" w:cs="Times New Roman"/>
          <w:sz w:val="24"/>
          <w:szCs w:val="24"/>
          <w:vertAlign w:val="superscript"/>
        </w:rPr>
        <w:t>th</w:t>
      </w:r>
      <w:r>
        <w:rPr>
          <w:rFonts w:ascii="Times New Roman" w:hAnsi="Times New Roman" w:cs="Times New Roman"/>
          <w:sz w:val="24"/>
          <w:szCs w:val="24"/>
        </w:rPr>
        <w:t xml:space="preserve"> __ (2012): </w:t>
      </w:r>
      <w:r w:rsidRPr="00FE5448">
        <w:rPr>
          <w:rFonts w:ascii="Times New Roman" w:hAnsi="Times New Roman" w:cs="Times New Roman"/>
          <w:sz w:val="24"/>
          <w:szCs w:val="24"/>
        </w:rPr>
        <w:t>California Court of Appeal affirm</w:t>
      </w:r>
      <w:r>
        <w:rPr>
          <w:rFonts w:ascii="Times New Roman" w:hAnsi="Times New Roman" w:cs="Times New Roman"/>
          <w:sz w:val="24"/>
          <w:szCs w:val="24"/>
        </w:rPr>
        <w:t xml:space="preserve">ed lower court’s </w:t>
      </w:r>
      <w:r w:rsidRPr="00FE5448">
        <w:rPr>
          <w:rFonts w:ascii="Times New Roman" w:hAnsi="Times New Roman" w:cs="Times New Roman"/>
          <w:sz w:val="24"/>
          <w:szCs w:val="24"/>
        </w:rPr>
        <w:t xml:space="preserve">order compelling </w:t>
      </w:r>
      <w:r>
        <w:rPr>
          <w:rFonts w:ascii="Times New Roman" w:hAnsi="Times New Roman" w:cs="Times New Roman"/>
          <w:sz w:val="24"/>
          <w:szCs w:val="24"/>
        </w:rPr>
        <w:t>employee, who is party to  a mandatory arbitration agreement, to</w:t>
      </w:r>
      <w:r w:rsidRPr="00FE5448">
        <w:rPr>
          <w:rFonts w:ascii="Times New Roman" w:hAnsi="Times New Roman" w:cs="Times New Roman"/>
          <w:sz w:val="24"/>
          <w:szCs w:val="24"/>
        </w:rPr>
        <w:t xml:space="preserve"> arbitrate her individual wage claims </w:t>
      </w:r>
      <w:r>
        <w:rPr>
          <w:rFonts w:ascii="Times New Roman" w:hAnsi="Times New Roman" w:cs="Times New Roman"/>
          <w:sz w:val="24"/>
          <w:szCs w:val="24"/>
        </w:rPr>
        <w:t xml:space="preserve">where employee filed  </w:t>
      </w:r>
      <w:r w:rsidRPr="00FE5448">
        <w:rPr>
          <w:rFonts w:ascii="Times New Roman" w:hAnsi="Times New Roman" w:cs="Times New Roman"/>
          <w:sz w:val="24"/>
          <w:szCs w:val="24"/>
        </w:rPr>
        <w:t>a class action for California Labor Code violations</w:t>
      </w:r>
      <w:r>
        <w:rPr>
          <w:rFonts w:ascii="Times New Roman" w:hAnsi="Times New Roman" w:cs="Times New Roman"/>
          <w:sz w:val="24"/>
          <w:szCs w:val="24"/>
        </w:rPr>
        <w:t>. T</w:t>
      </w:r>
      <w:r w:rsidRPr="00FE5448">
        <w:rPr>
          <w:rFonts w:ascii="Times New Roman" w:hAnsi="Times New Roman" w:cs="Times New Roman"/>
          <w:sz w:val="24"/>
          <w:szCs w:val="24"/>
        </w:rPr>
        <w:t>he Court rejected the employee’s reliance on the</w:t>
      </w:r>
      <w:r>
        <w:rPr>
          <w:rFonts w:ascii="Times New Roman" w:hAnsi="Times New Roman" w:cs="Times New Roman"/>
          <w:sz w:val="24"/>
          <w:szCs w:val="24"/>
        </w:rPr>
        <w:t xml:space="preserve"> NLRB’s ruling in </w:t>
      </w:r>
      <w:r w:rsidRPr="00FE5448">
        <w:rPr>
          <w:rFonts w:ascii="Times New Roman" w:hAnsi="Times New Roman" w:cs="Times New Roman"/>
          <w:sz w:val="24"/>
          <w:szCs w:val="24"/>
        </w:rPr>
        <w:t xml:space="preserve"> </w:t>
      </w:r>
      <w:r w:rsidRPr="00FE5448">
        <w:rPr>
          <w:rFonts w:ascii="Times New Roman" w:hAnsi="Times New Roman" w:cs="Times New Roman"/>
          <w:i/>
          <w:sz w:val="24"/>
          <w:szCs w:val="24"/>
        </w:rPr>
        <w:t>D.R. Horton, Inc</w:t>
      </w:r>
      <w:r>
        <w:rPr>
          <w:rFonts w:ascii="Times New Roman" w:hAnsi="Times New Roman" w:cs="Times New Roman"/>
          <w:i/>
          <w:sz w:val="24"/>
          <w:szCs w:val="24"/>
        </w:rPr>
        <w:t>.</w:t>
      </w:r>
      <w:r w:rsidRPr="00FE5448">
        <w:rPr>
          <w:rFonts w:ascii="Times New Roman" w:hAnsi="Times New Roman" w:cs="Times New Roman"/>
          <w:sz w:val="24"/>
          <w:szCs w:val="24"/>
        </w:rPr>
        <w:t xml:space="preserve"> declaring it not binding and that it went beyond the scope of the NLRB’s expertise. </w:t>
      </w:r>
    </w:p>
    <w:p w:rsidR="00FE5448" w:rsidRDefault="00FE5448" w:rsidP="007B2A66">
      <w:pPr>
        <w:rPr>
          <w:rFonts w:ascii="Times New Roman" w:hAnsi="Times New Roman" w:cs="Times New Roman"/>
          <w:i/>
          <w:sz w:val="24"/>
          <w:szCs w:val="24"/>
        </w:rPr>
      </w:pPr>
    </w:p>
    <w:p w:rsidR="007B2A66" w:rsidRPr="007B2A66" w:rsidRDefault="007B2A66" w:rsidP="007B2A66">
      <w:pPr>
        <w:rPr>
          <w:rFonts w:ascii="Times New Roman" w:hAnsi="Times New Roman" w:cs="Times New Roman"/>
          <w:sz w:val="24"/>
          <w:szCs w:val="24"/>
        </w:rPr>
      </w:pPr>
    </w:p>
    <w:p w:rsidR="007B2A66" w:rsidRPr="005919A4" w:rsidRDefault="007B2A66" w:rsidP="007B2A66">
      <w:pPr>
        <w:rPr>
          <w:rFonts w:ascii="Times New Roman" w:hAnsi="Times New Roman" w:cs="Times New Roman"/>
          <w:sz w:val="24"/>
          <w:szCs w:val="24"/>
        </w:rPr>
      </w:pPr>
    </w:p>
    <w:sectPr w:rsidR="007B2A66" w:rsidRPr="005919A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9A4" w:rsidRDefault="005919A4" w:rsidP="005919A4">
      <w:pPr>
        <w:spacing w:after="0" w:line="240" w:lineRule="auto"/>
      </w:pPr>
      <w:r>
        <w:separator/>
      </w:r>
    </w:p>
  </w:endnote>
  <w:endnote w:type="continuationSeparator" w:id="0">
    <w:p w:rsidR="005919A4" w:rsidRDefault="005919A4" w:rsidP="00591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97F" w:rsidRDefault="005D59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9973416"/>
      <w:docPartObj>
        <w:docPartGallery w:val="Page Numbers (Bottom of Page)"/>
        <w:docPartUnique/>
      </w:docPartObj>
    </w:sdtPr>
    <w:sdtEndPr>
      <w:rPr>
        <w:color w:val="808080" w:themeColor="background1" w:themeShade="80"/>
        <w:spacing w:val="60"/>
      </w:rPr>
    </w:sdtEndPr>
    <w:sdtContent>
      <w:p w:rsidR="005919A4" w:rsidRDefault="005919A4">
        <w:pPr>
          <w:pStyle w:val="Footer"/>
          <w:pBdr>
            <w:top w:val="single" w:sz="4" w:space="1" w:color="D9D9D9" w:themeColor="background1" w:themeShade="D9"/>
          </w:pBdr>
          <w:jc w:val="right"/>
        </w:pPr>
        <w:r>
          <w:fldChar w:fldCharType="begin"/>
        </w:r>
        <w:r>
          <w:instrText xml:space="preserve"> PAGE   \* MERGEFORMAT </w:instrText>
        </w:r>
        <w:r>
          <w:fldChar w:fldCharType="separate"/>
        </w:r>
        <w:r w:rsidR="00C921D2">
          <w:rPr>
            <w:noProof/>
          </w:rPr>
          <w:t>1</w:t>
        </w:r>
        <w:r>
          <w:rPr>
            <w:noProof/>
          </w:rPr>
          <w:fldChar w:fldCharType="end"/>
        </w:r>
        <w:r>
          <w:t xml:space="preserve"> | </w:t>
        </w:r>
        <w:r>
          <w:rPr>
            <w:color w:val="808080" w:themeColor="background1" w:themeShade="80"/>
            <w:spacing w:val="60"/>
          </w:rPr>
          <w:t>Page</w:t>
        </w:r>
      </w:p>
    </w:sdtContent>
  </w:sdt>
  <w:p w:rsidR="005919A4" w:rsidRPr="005919A4" w:rsidRDefault="005919A4">
    <w:pPr>
      <w:pStyle w:val="Footer"/>
      <w:rPr>
        <w:sz w:val="18"/>
        <w:szCs w:val="18"/>
      </w:rPr>
    </w:pPr>
    <w:r w:rsidRPr="005919A4">
      <w:rPr>
        <w:sz w:val="18"/>
        <w:szCs w:val="18"/>
      </w:rPr>
      <w:fldChar w:fldCharType="begin"/>
    </w:r>
    <w:r w:rsidRPr="005919A4">
      <w:rPr>
        <w:sz w:val="18"/>
        <w:szCs w:val="18"/>
      </w:rPr>
      <w:instrText xml:space="preserve"> FILENAME   \* MERGEFORMAT </w:instrText>
    </w:r>
    <w:r w:rsidRPr="005919A4">
      <w:rPr>
        <w:sz w:val="18"/>
        <w:szCs w:val="18"/>
      </w:rPr>
      <w:fldChar w:fldCharType="separate"/>
    </w:r>
    <w:r w:rsidR="005D597F">
      <w:rPr>
        <w:noProof/>
        <w:sz w:val="18"/>
        <w:szCs w:val="18"/>
      </w:rPr>
      <w:t>00039796.DOCX</w:t>
    </w:r>
    <w:r w:rsidRPr="005919A4">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97F" w:rsidRDefault="005D59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9A4" w:rsidRDefault="005919A4" w:rsidP="005919A4">
      <w:pPr>
        <w:spacing w:after="0" w:line="240" w:lineRule="auto"/>
      </w:pPr>
      <w:r>
        <w:separator/>
      </w:r>
    </w:p>
  </w:footnote>
  <w:footnote w:type="continuationSeparator" w:id="0">
    <w:p w:rsidR="005919A4" w:rsidRDefault="005919A4" w:rsidP="005919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97F" w:rsidRDefault="005D59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97F" w:rsidRDefault="005D59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97F" w:rsidRDefault="005D597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301"/>
    <w:rsid w:val="000A5301"/>
    <w:rsid w:val="002C3768"/>
    <w:rsid w:val="00371FEE"/>
    <w:rsid w:val="00375F67"/>
    <w:rsid w:val="00461E6B"/>
    <w:rsid w:val="005919A4"/>
    <w:rsid w:val="005D597F"/>
    <w:rsid w:val="007B2A66"/>
    <w:rsid w:val="00826A74"/>
    <w:rsid w:val="00AE49AB"/>
    <w:rsid w:val="00C921D2"/>
    <w:rsid w:val="00FE5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A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19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19A4"/>
  </w:style>
  <w:style w:type="paragraph" w:styleId="Footer">
    <w:name w:val="footer"/>
    <w:basedOn w:val="Normal"/>
    <w:link w:val="FooterChar"/>
    <w:uiPriority w:val="99"/>
    <w:unhideWhenUsed/>
    <w:rsid w:val="005919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19A4"/>
  </w:style>
  <w:style w:type="character" w:styleId="Hyperlink">
    <w:name w:val="Hyperlink"/>
    <w:basedOn w:val="DefaultParagraphFont"/>
    <w:uiPriority w:val="99"/>
    <w:unhideWhenUsed/>
    <w:rsid w:val="007B2A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A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19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19A4"/>
  </w:style>
  <w:style w:type="paragraph" w:styleId="Footer">
    <w:name w:val="footer"/>
    <w:basedOn w:val="Normal"/>
    <w:link w:val="FooterChar"/>
    <w:uiPriority w:val="99"/>
    <w:unhideWhenUsed/>
    <w:rsid w:val="005919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19A4"/>
  </w:style>
  <w:style w:type="character" w:styleId="Hyperlink">
    <w:name w:val="Hyperlink"/>
    <w:basedOn w:val="DefaultParagraphFont"/>
    <w:uiPriority w:val="99"/>
    <w:unhideWhenUsed/>
    <w:rsid w:val="007B2A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334646">
      <w:bodyDiv w:val="1"/>
      <w:marLeft w:val="0"/>
      <w:marRight w:val="0"/>
      <w:marTop w:val="0"/>
      <w:marBottom w:val="0"/>
      <w:divBdr>
        <w:top w:val="none" w:sz="0" w:space="0" w:color="auto"/>
        <w:left w:val="none" w:sz="0" w:space="0" w:color="auto"/>
        <w:bottom w:val="none" w:sz="0" w:space="0" w:color="auto"/>
        <w:right w:val="none" w:sz="0" w:space="0" w:color="auto"/>
      </w:divBdr>
    </w:div>
    <w:div w:id="175708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2058</Words>
  <Characters>11409</Characters>
  <Application>Microsoft Office Word</Application>
  <DocSecurity>0</DocSecurity>
  <PresentationFormat/>
  <Lines>195</Lines>
  <Paragraphs>67</Paragraphs>
  <ScaleCrop>false</ScaleCrop>
  <HeadingPairs>
    <vt:vector size="2" baseType="variant">
      <vt:variant>
        <vt:lpstr>Title</vt:lpstr>
      </vt:variant>
      <vt:variant>
        <vt:i4>1</vt:i4>
      </vt:variant>
    </vt:vector>
  </HeadingPairs>
  <TitlesOfParts>
    <vt:vector size="1" baseType="lpstr">
      <vt:lpstr>Outline of Handout (00039796).DOCX</vt:lpstr>
    </vt:vector>
  </TitlesOfParts>
  <Manager/>
  <Company/>
  <LinksUpToDate>false</LinksUpToDate>
  <CharactersWithSpaces>13483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
  <cp:keywords/>
  <dc:description/>
  <cp:lastModifiedBy/>
  <cp:revision>1</cp:revision>
  <dcterms:created xsi:type="dcterms:W3CDTF">2012-08-28T22:36:00Z</dcterms:created>
  <dcterms:modified xsi:type="dcterms:W3CDTF">2012-08-28T22:36:00Z</dcterms:modified>
</cp:coreProperties>
</file>