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F3B" w:rsidRDefault="000A403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u w:val="single"/>
        </w:rPr>
        <w:t>Component Event Template</w:t>
      </w:r>
    </w:p>
    <w:p w:rsidR="003F7F3B" w:rsidRDefault="003F7F3B">
      <w:pPr>
        <w:rPr>
          <w:rFonts w:ascii="Arial" w:hAnsi="Arial" w:cs="Arial"/>
          <w:u w:val="single"/>
        </w:rPr>
      </w:pPr>
    </w:p>
    <w:p w:rsidR="003F7F3B" w:rsidRDefault="000A4030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Event Name:</w:t>
      </w:r>
    </w:p>
    <w:p w:rsidR="003F7F3B" w:rsidRDefault="000A4030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“SEC Enforcement:  Questions for the New Division Co-Director on What Lies Ahead”</w:t>
      </w:r>
    </w:p>
    <w:p w:rsidR="003F7F3B" w:rsidRDefault="003F7F3B">
      <w:pPr>
        <w:rPr>
          <w:rFonts w:ascii="Arial" w:hAnsi="Arial" w:cs="Arial"/>
          <w:u w:val="single"/>
        </w:rPr>
      </w:pPr>
    </w:p>
    <w:p w:rsidR="003F7F3B" w:rsidRDefault="000A4030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Event Date:</w:t>
      </w:r>
    </w:p>
    <w:p w:rsidR="003F7F3B" w:rsidRDefault="000A4030">
      <w:pPr>
        <w:rPr>
          <w:rFonts w:ascii="Arial" w:hAnsi="Arial" w:cs="Arial"/>
          <w:u w:val="single"/>
        </w:rPr>
      </w:pPr>
      <w:r>
        <w:rPr>
          <w:rFonts w:ascii="Arial" w:hAnsi="Arial" w:cs="Arial"/>
          <w:sz w:val="20"/>
          <w:szCs w:val="20"/>
        </w:rPr>
        <w:t>June 17, 2013</w:t>
      </w:r>
    </w:p>
    <w:p w:rsidR="003F7F3B" w:rsidRDefault="003F7F3B">
      <w:pPr>
        <w:rPr>
          <w:rFonts w:ascii="Arial" w:hAnsi="Arial" w:cs="Arial"/>
          <w:u w:val="single"/>
        </w:rPr>
      </w:pPr>
    </w:p>
    <w:p w:rsidR="003F7F3B" w:rsidRDefault="000A4030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Chapter(s) Participating:</w:t>
      </w:r>
    </w:p>
    <w:p w:rsidR="003F7F3B" w:rsidRDefault="000A4030">
      <w:pPr>
        <w:rPr>
          <w:rFonts w:ascii="Arial" w:hAnsi="Arial" w:cs="Arial"/>
          <w:u w:val="single"/>
        </w:rPr>
      </w:pPr>
      <w:r>
        <w:rPr>
          <w:rStyle w:val="Strong"/>
          <w:rFonts w:ascii="Arial" w:hAnsi="Arial" w:cs="Arial"/>
        </w:rPr>
        <w:t>Southern District of New York Chapter</w:t>
      </w:r>
    </w:p>
    <w:p w:rsidR="003F7F3B" w:rsidRDefault="003F7F3B">
      <w:pPr>
        <w:rPr>
          <w:rFonts w:ascii="Arial" w:hAnsi="Arial" w:cs="Arial"/>
          <w:u w:val="single"/>
        </w:rPr>
      </w:pPr>
    </w:p>
    <w:p w:rsidR="003F7F3B" w:rsidRDefault="000A4030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Section/Division(s) Participating:</w:t>
      </w:r>
    </w:p>
    <w:p w:rsidR="003F7F3B" w:rsidRDefault="000A4030">
      <w:pPr>
        <w:rPr>
          <w:rFonts w:ascii="Arial" w:hAnsi="Arial" w:cs="Arial"/>
          <w:u w:val="single"/>
        </w:rPr>
      </w:pPr>
      <w:r>
        <w:rPr>
          <w:rStyle w:val="Strong"/>
          <w:rFonts w:ascii="Arial" w:hAnsi="Arial" w:cs="Arial"/>
        </w:rPr>
        <w:t>Securities Law Section</w:t>
      </w:r>
    </w:p>
    <w:p w:rsidR="003F7F3B" w:rsidRDefault="003F7F3B">
      <w:pPr>
        <w:rPr>
          <w:rFonts w:ascii="Arial" w:hAnsi="Arial" w:cs="Arial"/>
          <w:u w:val="single"/>
        </w:rPr>
      </w:pPr>
    </w:p>
    <w:p w:rsidR="003F7F3B" w:rsidRDefault="000A4030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Brief Description of the Event:</w:t>
      </w:r>
    </w:p>
    <w:p w:rsidR="003F7F3B" w:rsidRDefault="000A4030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sz w:val="20"/>
          <w:szCs w:val="20"/>
        </w:rPr>
        <w:t xml:space="preserve">The audience had an opportunity to hear and interact with SEC Enforcement Division Co-Director George </w:t>
      </w:r>
      <w:proofErr w:type="spellStart"/>
      <w:r>
        <w:rPr>
          <w:rFonts w:ascii="Arial" w:eastAsia="Times New Roman" w:hAnsi="Arial" w:cs="Arial"/>
          <w:sz w:val="20"/>
          <w:szCs w:val="20"/>
        </w:rPr>
        <w:t>Canellos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on where the SEC’s enforcement program may go in the months ahead and the challenges it will face.  On April 22, 2013, new SEC Chair Mary Jo White appointed George </w:t>
      </w:r>
      <w:proofErr w:type="spellStart"/>
      <w:r>
        <w:rPr>
          <w:rFonts w:ascii="Arial" w:eastAsia="Times New Roman" w:hAnsi="Arial" w:cs="Arial"/>
          <w:sz w:val="20"/>
          <w:szCs w:val="20"/>
        </w:rPr>
        <w:t>Canellos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and Andrew </w:t>
      </w:r>
      <w:proofErr w:type="spellStart"/>
      <w:r>
        <w:rPr>
          <w:rFonts w:ascii="Arial" w:eastAsia="Times New Roman" w:hAnsi="Arial" w:cs="Arial"/>
          <w:sz w:val="20"/>
          <w:szCs w:val="20"/>
        </w:rPr>
        <w:t>Ceresney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as Co-Directors of the Enforcement Division, marked the first time that the SEC's largest and most visible division has had dual leadership.  These appointments followed a period of reorientation and restructuring in the Division under its previous director, Rob </w:t>
      </w:r>
      <w:proofErr w:type="spellStart"/>
      <w:proofErr w:type="gramStart"/>
      <w:r>
        <w:rPr>
          <w:rFonts w:ascii="Arial" w:eastAsia="Times New Roman" w:hAnsi="Arial" w:cs="Arial"/>
          <w:sz w:val="20"/>
          <w:szCs w:val="20"/>
        </w:rPr>
        <w:t>Khuzami</w:t>
      </w:r>
      <w:proofErr w:type="spellEnd"/>
      <w:r>
        <w:rPr>
          <w:rFonts w:ascii="Arial" w:eastAsia="Times New Roman" w:hAnsi="Arial" w:cs="Arial"/>
          <w:sz w:val="20"/>
          <w:szCs w:val="20"/>
        </w:rPr>
        <w:t>, that</w:t>
      </w:r>
      <w:proofErr w:type="gramEnd"/>
      <w:r>
        <w:rPr>
          <w:rFonts w:ascii="Arial" w:eastAsia="Times New Roman" w:hAnsi="Arial" w:cs="Arial"/>
          <w:sz w:val="20"/>
          <w:szCs w:val="20"/>
        </w:rPr>
        <w:t xml:space="preserve"> included the creation of five specialized units and multiple new initiatives.  Mr. </w:t>
      </w:r>
      <w:proofErr w:type="spellStart"/>
      <w:r>
        <w:rPr>
          <w:rFonts w:ascii="Arial" w:eastAsia="Times New Roman" w:hAnsi="Arial" w:cs="Arial"/>
          <w:sz w:val="20"/>
          <w:szCs w:val="20"/>
        </w:rPr>
        <w:t>Canellos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previously served as SEC New York Regional Director and as SEC Enforcement Deputy Director.  This panel provided an opportunity for panelists and </w:t>
      </w:r>
      <w:proofErr w:type="spellStart"/>
      <w:r>
        <w:rPr>
          <w:rFonts w:ascii="Arial" w:eastAsia="Times New Roman" w:hAnsi="Arial" w:cs="Arial"/>
          <w:sz w:val="20"/>
          <w:szCs w:val="20"/>
        </w:rPr>
        <w:t>videolinked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audiences in both Washington and New York to interact with the Co-Director on issues of concern to the securities enforcement bar and clients, including possible changes in SEC enforcement focus areas and procedures.</w:t>
      </w:r>
    </w:p>
    <w:p w:rsidR="003F7F3B" w:rsidRDefault="003F7F3B">
      <w:pPr>
        <w:rPr>
          <w:rFonts w:ascii="Arial" w:hAnsi="Arial" w:cs="Arial"/>
          <w:u w:val="single"/>
        </w:rPr>
      </w:pPr>
    </w:p>
    <w:p w:rsidR="003F7F3B" w:rsidRDefault="000A4030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Total Number of Attendees:</w:t>
      </w:r>
    </w:p>
    <w:p w:rsidR="003F7F3B" w:rsidRDefault="000A4030">
      <w:pPr>
        <w:rPr>
          <w:rFonts w:ascii="Arial" w:hAnsi="Arial" w:cs="Arial"/>
        </w:rPr>
      </w:pPr>
      <w:r>
        <w:rPr>
          <w:rFonts w:ascii="Arial" w:hAnsi="Arial" w:cs="Arial"/>
        </w:rPr>
        <w:t>120 people divided between Washington and New York, joined by video link.</w:t>
      </w:r>
    </w:p>
    <w:p w:rsidR="003F7F3B" w:rsidRDefault="003F7F3B">
      <w:pPr>
        <w:rPr>
          <w:rFonts w:ascii="Arial" w:hAnsi="Arial" w:cs="Arial"/>
          <w:u w:val="single"/>
        </w:rPr>
      </w:pPr>
    </w:p>
    <w:p w:rsidR="003F7F3B" w:rsidRDefault="000A4030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Target Audience:</w:t>
      </w:r>
    </w:p>
    <w:p w:rsidR="003F7F3B" w:rsidRDefault="000A4030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SEC defense practitioners</w:t>
      </w:r>
    </w:p>
    <w:p w:rsidR="003F7F3B" w:rsidRDefault="003F7F3B">
      <w:pPr>
        <w:rPr>
          <w:rFonts w:ascii="Arial" w:hAnsi="Arial" w:cs="Arial"/>
          <w:u w:val="single"/>
        </w:rPr>
      </w:pPr>
    </w:p>
    <w:p w:rsidR="003F7F3B" w:rsidRDefault="000A4030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Description of Marketing Efforts:</w:t>
      </w:r>
    </w:p>
    <w:p w:rsidR="003F7F3B" w:rsidRDefault="000A4030">
      <w:pPr>
        <w:rPr>
          <w:rFonts w:ascii="Arial" w:hAnsi="Arial" w:cs="Arial"/>
          <w:u w:val="single"/>
        </w:rPr>
      </w:pPr>
      <w:proofErr w:type="gramStart"/>
      <w:r>
        <w:rPr>
          <w:rFonts w:ascii="Arial" w:hAnsi="Arial" w:cs="Arial"/>
        </w:rPr>
        <w:t>Advertised through (1) FBA National; (2) SDNY Chapter; (3) informal email list serves of SEC alumni in Washington and New York.</w:t>
      </w:r>
      <w:proofErr w:type="gramEnd"/>
    </w:p>
    <w:p w:rsidR="003F7F3B" w:rsidRDefault="003F7F3B">
      <w:pPr>
        <w:rPr>
          <w:rFonts w:ascii="Arial" w:hAnsi="Arial" w:cs="Arial"/>
          <w:u w:val="single"/>
        </w:rPr>
      </w:pPr>
    </w:p>
    <w:p w:rsidR="003F7F3B" w:rsidRDefault="000A4030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Total Budget Amount:</w:t>
      </w:r>
    </w:p>
    <w:p w:rsidR="003F7F3B" w:rsidRDefault="000A4030">
      <w:pPr>
        <w:rPr>
          <w:rFonts w:ascii="Arial" w:hAnsi="Arial" w:cs="Arial"/>
          <w:u w:val="single"/>
        </w:rPr>
      </w:pPr>
      <w:proofErr w:type="gramStart"/>
      <w:r>
        <w:rPr>
          <w:rFonts w:ascii="Arial" w:hAnsi="Arial" w:cs="Arial"/>
        </w:rPr>
        <w:t>$500 (estimate).</w:t>
      </w:r>
      <w:proofErr w:type="gramEnd"/>
    </w:p>
    <w:p w:rsidR="003F7F3B" w:rsidRDefault="003F7F3B">
      <w:pPr>
        <w:rPr>
          <w:rFonts w:ascii="Arial" w:hAnsi="Arial" w:cs="Arial"/>
          <w:u w:val="single"/>
        </w:rPr>
      </w:pPr>
    </w:p>
    <w:p w:rsidR="003F7F3B" w:rsidRDefault="000A4030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Advice for Those Replicating the Program:</w:t>
      </w:r>
    </w:p>
    <w:p w:rsidR="003F7F3B" w:rsidRDefault="000A4030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Combining audiences in two target cities by video link proved particularly effective.</w:t>
      </w:r>
    </w:p>
    <w:p w:rsidR="003F7F3B" w:rsidRDefault="003F7F3B">
      <w:pPr>
        <w:rPr>
          <w:rFonts w:ascii="Arial" w:hAnsi="Arial" w:cs="Arial"/>
          <w:u w:val="single"/>
        </w:rPr>
      </w:pPr>
    </w:p>
    <w:p w:rsidR="003F7F3B" w:rsidRDefault="000A4030">
      <w:pPr>
        <w:rPr>
          <w:rFonts w:ascii="Arial" w:hAnsi="Arial" w:cs="Arial"/>
          <w:color w:val="FF0000"/>
          <w:u w:val="single"/>
        </w:rPr>
      </w:pPr>
      <w:r>
        <w:rPr>
          <w:rFonts w:ascii="Arial" w:hAnsi="Arial" w:cs="Arial"/>
          <w:color w:val="FF0000"/>
          <w:u w:val="single"/>
        </w:rPr>
        <w:t>Event Contact Person:</w:t>
      </w:r>
    </w:p>
    <w:p w:rsidR="003F7F3B" w:rsidRDefault="000A4030">
      <w:pPr>
        <w:rPr>
          <w:rFonts w:ascii="Arial" w:hAnsi="Arial" w:cs="Arial"/>
          <w:color w:val="FF0000"/>
          <w:u w:val="single"/>
        </w:rPr>
      </w:pPr>
      <w:r>
        <w:rPr>
          <w:rFonts w:ascii="Arial" w:hAnsi="Arial" w:cs="Arial"/>
          <w:color w:val="FF0000"/>
        </w:rPr>
        <w:t xml:space="preserve">Stephen </w:t>
      </w:r>
      <w:proofErr w:type="spellStart"/>
      <w:r>
        <w:rPr>
          <w:rFonts w:ascii="Arial" w:hAnsi="Arial" w:cs="Arial"/>
          <w:color w:val="FF0000"/>
        </w:rPr>
        <w:t>Crimmins</w:t>
      </w:r>
      <w:proofErr w:type="spellEnd"/>
      <w:r>
        <w:rPr>
          <w:rFonts w:ascii="Arial" w:hAnsi="Arial" w:cs="Arial"/>
          <w:color w:val="FF0000"/>
        </w:rPr>
        <w:t>, Securities Law Section Chair</w:t>
      </w:r>
    </w:p>
    <w:p w:rsidR="003F7F3B" w:rsidRDefault="003F7F3B">
      <w:pPr>
        <w:rPr>
          <w:rFonts w:ascii="Arial" w:hAnsi="Arial" w:cs="Arial"/>
          <w:u w:val="single"/>
        </w:rPr>
      </w:pPr>
    </w:p>
    <w:p w:rsidR="003F7F3B" w:rsidRDefault="000A4030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Sample Attachments (Marketing Emails, Agenda, Speaker Invitation Letter, Program, </w:t>
      </w:r>
      <w:proofErr w:type="spellStart"/>
      <w:r>
        <w:rPr>
          <w:rFonts w:ascii="Arial" w:hAnsi="Arial" w:cs="Arial"/>
          <w:u w:val="single"/>
        </w:rPr>
        <w:t>etc</w:t>
      </w:r>
      <w:proofErr w:type="spellEnd"/>
      <w:r>
        <w:rPr>
          <w:rFonts w:ascii="Arial" w:hAnsi="Arial" w:cs="Arial"/>
          <w:u w:val="single"/>
        </w:rPr>
        <w:t>):</w:t>
      </w:r>
    </w:p>
    <w:p w:rsidR="003F7F3B" w:rsidRDefault="000A4030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copied</w:t>
      </w:r>
      <w:proofErr w:type="gramEnd"/>
      <w:r>
        <w:rPr>
          <w:rFonts w:ascii="Arial" w:hAnsi="Arial" w:cs="Arial"/>
        </w:rPr>
        <w:t xml:space="preserve"> onto next page)</w:t>
      </w:r>
    </w:p>
    <w:p w:rsidR="003F7F3B" w:rsidRDefault="003F7F3B">
      <w:pPr>
        <w:jc w:val="center"/>
        <w:rPr>
          <w:rFonts w:eastAsia="Times New Roman"/>
        </w:rPr>
      </w:pPr>
    </w:p>
    <w:p w:rsidR="003F7F3B" w:rsidRDefault="003F7F3B">
      <w:pPr>
        <w:jc w:val="center"/>
        <w:rPr>
          <w:rFonts w:eastAsia="Times New Roman"/>
        </w:rPr>
      </w:pPr>
    </w:p>
    <w:p w:rsidR="003F7F3B" w:rsidRDefault="003F7F3B">
      <w:pPr>
        <w:jc w:val="center"/>
        <w:rPr>
          <w:rFonts w:eastAsia="Times New Roman"/>
        </w:rPr>
      </w:pPr>
    </w:p>
    <w:p w:rsidR="003F7F3B" w:rsidRDefault="003F7F3B">
      <w:pPr>
        <w:jc w:val="center"/>
        <w:rPr>
          <w:rFonts w:eastAsia="Times New Roman"/>
        </w:rPr>
      </w:pPr>
    </w:p>
    <w:p w:rsidR="003F7F3B" w:rsidRDefault="003F7F3B">
      <w:pPr>
        <w:jc w:val="center"/>
        <w:rPr>
          <w:rFonts w:eastAsia="Times New Roman"/>
        </w:rPr>
      </w:pPr>
    </w:p>
    <w:p w:rsidR="003F7F3B" w:rsidRDefault="003F7F3B">
      <w:pPr>
        <w:jc w:val="center"/>
        <w:rPr>
          <w:rFonts w:eastAsia="Times New Roman"/>
        </w:rPr>
      </w:pPr>
    </w:p>
    <w:p w:rsidR="003F7F3B" w:rsidRDefault="003F7F3B">
      <w:pPr>
        <w:jc w:val="center"/>
        <w:rPr>
          <w:rFonts w:eastAsia="Times New Roman"/>
        </w:rPr>
      </w:pPr>
    </w:p>
    <w:p w:rsidR="003F7F3B" w:rsidRDefault="003F7F3B">
      <w:pPr>
        <w:jc w:val="center"/>
        <w:rPr>
          <w:rFonts w:eastAsia="Times New Roman"/>
        </w:rPr>
      </w:pPr>
    </w:p>
    <w:p w:rsidR="003F7F3B" w:rsidRDefault="000A4030">
      <w:pPr>
        <w:jc w:val="center"/>
        <w:rPr>
          <w:rStyle w:val="Strong"/>
          <w:rFonts w:ascii="Arial" w:hAnsi="Arial" w:cs="Arial"/>
          <w:b w:val="0"/>
          <w:bCs w:val="0"/>
        </w:rPr>
      </w:pPr>
      <w:r>
        <w:rPr>
          <w:noProof/>
        </w:rPr>
        <w:lastRenderedPageBreak/>
        <w:drawing>
          <wp:inline distT="0" distB="0" distL="0" distR="0">
            <wp:extent cx="5829300" cy="1028700"/>
            <wp:effectExtent l="0" t="0" r="0" b="0"/>
            <wp:docPr id="1" name="Picture 1" descr="cid:image001.jpg@01CE6045.B91A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1.jpg@01CE6045.B91AE30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F3B" w:rsidRDefault="003F7F3B">
      <w:pPr>
        <w:rPr>
          <w:rStyle w:val="Strong"/>
          <w:rFonts w:ascii="Arial" w:hAnsi="Arial" w:cs="Arial"/>
          <w:b w:val="0"/>
          <w:bCs w:val="0"/>
        </w:rPr>
      </w:pPr>
    </w:p>
    <w:p w:rsidR="003F7F3B" w:rsidRDefault="003F7F3B">
      <w:pPr>
        <w:rPr>
          <w:rStyle w:val="Strong"/>
          <w:rFonts w:ascii="Arial" w:hAnsi="Arial" w:cs="Arial"/>
          <w:b w:val="0"/>
          <w:bCs w:val="0"/>
        </w:rPr>
      </w:pPr>
    </w:p>
    <w:p w:rsidR="003F7F3B" w:rsidRDefault="000A4030">
      <w:pPr>
        <w:jc w:val="center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The Federal Bar Association’s Securities Law Section</w:t>
      </w:r>
    </w:p>
    <w:p w:rsidR="003F7F3B" w:rsidRDefault="000A4030">
      <w:pPr>
        <w:jc w:val="center"/>
        <w:rPr>
          <w:rStyle w:val="Strong"/>
          <w:rFonts w:ascii="Arial" w:hAnsi="Arial" w:cs="Arial"/>
        </w:rPr>
      </w:pPr>
      <w:proofErr w:type="gramStart"/>
      <w:r>
        <w:rPr>
          <w:rStyle w:val="Strong"/>
          <w:rFonts w:ascii="Arial" w:hAnsi="Arial" w:cs="Arial"/>
        </w:rPr>
        <w:t>and</w:t>
      </w:r>
      <w:proofErr w:type="gramEnd"/>
      <w:r>
        <w:rPr>
          <w:rStyle w:val="Strong"/>
          <w:rFonts w:ascii="Arial" w:hAnsi="Arial" w:cs="Arial"/>
        </w:rPr>
        <w:t xml:space="preserve"> its Southern District of New York Chapter, in</w:t>
      </w:r>
    </w:p>
    <w:p w:rsidR="003F7F3B" w:rsidRDefault="000A4030">
      <w:pPr>
        <w:jc w:val="center"/>
        <w:rPr>
          <w:rStyle w:val="Strong"/>
          <w:rFonts w:ascii="Arial" w:hAnsi="Arial" w:cs="Arial"/>
        </w:rPr>
      </w:pPr>
      <w:proofErr w:type="gramStart"/>
      <w:r>
        <w:rPr>
          <w:rStyle w:val="Strong"/>
          <w:rFonts w:ascii="Arial" w:hAnsi="Arial" w:cs="Arial"/>
        </w:rPr>
        <w:t>partnership</w:t>
      </w:r>
      <w:proofErr w:type="gramEnd"/>
      <w:r>
        <w:rPr>
          <w:rStyle w:val="Strong"/>
          <w:rFonts w:ascii="Arial" w:hAnsi="Arial" w:cs="Arial"/>
        </w:rPr>
        <w:t xml:space="preserve"> with FTI Consulting, invite you to</w:t>
      </w:r>
    </w:p>
    <w:p w:rsidR="003F7F3B" w:rsidRDefault="000A4030">
      <w:pPr>
        <w:jc w:val="center"/>
        <w:rPr>
          <w:rFonts w:ascii="Times New Roman" w:hAnsi="Times New Roman"/>
        </w:rPr>
      </w:pPr>
      <w:proofErr w:type="gramStart"/>
      <w:r>
        <w:rPr>
          <w:rStyle w:val="Strong"/>
          <w:rFonts w:ascii="Arial" w:hAnsi="Arial" w:cs="Arial"/>
        </w:rPr>
        <w:t>attend</w:t>
      </w:r>
      <w:proofErr w:type="gramEnd"/>
      <w:r>
        <w:rPr>
          <w:rStyle w:val="Strong"/>
          <w:rFonts w:ascii="Arial" w:hAnsi="Arial" w:cs="Arial"/>
        </w:rPr>
        <w:t xml:space="preserve"> a panel in Washington and New York</w:t>
      </w:r>
    </w:p>
    <w:p w:rsidR="003F7F3B" w:rsidRDefault="003F7F3B">
      <w:pPr>
        <w:jc w:val="center"/>
      </w:pPr>
    </w:p>
    <w:p w:rsidR="003F7F3B" w:rsidRDefault="000A4030">
      <w:pPr>
        <w:jc w:val="center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“SEC Enforcement:  Questions for the New</w:t>
      </w:r>
    </w:p>
    <w:p w:rsidR="003F7F3B" w:rsidRDefault="000A4030">
      <w:pPr>
        <w:jc w:val="center"/>
        <w:rPr>
          <w:rFonts w:ascii="Times New Roman" w:hAnsi="Times New Roman"/>
        </w:rPr>
      </w:pPr>
      <w:r>
        <w:rPr>
          <w:rStyle w:val="Strong"/>
          <w:rFonts w:ascii="Arial" w:hAnsi="Arial" w:cs="Arial"/>
        </w:rPr>
        <w:t>Division Co-Director on What Lies Ahead”</w:t>
      </w:r>
    </w:p>
    <w:p w:rsidR="003F7F3B" w:rsidRDefault="000A4030">
      <w:r>
        <w:t> </w:t>
      </w:r>
    </w:p>
    <w:p w:rsidR="003F7F3B" w:rsidRDefault="000A4030">
      <w:r>
        <w:rPr>
          <w:rFonts w:ascii="Arial" w:hAnsi="Arial" w:cs="Arial"/>
          <w:sz w:val="20"/>
          <w:szCs w:val="20"/>
        </w:rPr>
        <w:t xml:space="preserve">Join us to hear and interact with new SEC Enforcement Division Co-Director George </w:t>
      </w:r>
      <w:proofErr w:type="spellStart"/>
      <w:r>
        <w:rPr>
          <w:rFonts w:ascii="Arial" w:hAnsi="Arial" w:cs="Arial"/>
          <w:sz w:val="20"/>
          <w:szCs w:val="20"/>
        </w:rPr>
        <w:t>Canellos</w:t>
      </w:r>
      <w:proofErr w:type="spellEnd"/>
      <w:r>
        <w:rPr>
          <w:rFonts w:ascii="Arial" w:hAnsi="Arial" w:cs="Arial"/>
          <w:sz w:val="20"/>
          <w:szCs w:val="20"/>
        </w:rPr>
        <w:t xml:space="preserve"> on where the SEC’s enforcement program may go in the months ahead and the challenges it will face.  On April 22, 2013, new SEC Chair Mary Jo White appointed George </w:t>
      </w:r>
      <w:proofErr w:type="spellStart"/>
      <w:r>
        <w:rPr>
          <w:rFonts w:ascii="Arial" w:hAnsi="Arial" w:cs="Arial"/>
          <w:sz w:val="20"/>
          <w:szCs w:val="20"/>
        </w:rPr>
        <w:t>Canellos</w:t>
      </w:r>
      <w:proofErr w:type="spellEnd"/>
      <w:r>
        <w:rPr>
          <w:rFonts w:ascii="Arial" w:hAnsi="Arial" w:cs="Arial"/>
          <w:sz w:val="20"/>
          <w:szCs w:val="20"/>
        </w:rPr>
        <w:t xml:space="preserve"> and Andrew </w:t>
      </w:r>
      <w:proofErr w:type="spellStart"/>
      <w:r>
        <w:rPr>
          <w:rFonts w:ascii="Arial" w:hAnsi="Arial" w:cs="Arial"/>
          <w:sz w:val="20"/>
          <w:szCs w:val="20"/>
        </w:rPr>
        <w:t>Ceresney</w:t>
      </w:r>
      <w:proofErr w:type="spellEnd"/>
      <w:r>
        <w:rPr>
          <w:rFonts w:ascii="Arial" w:hAnsi="Arial" w:cs="Arial"/>
          <w:sz w:val="20"/>
          <w:szCs w:val="20"/>
        </w:rPr>
        <w:t xml:space="preserve"> as Co-Directors of the Enforcement Division, marking the first time that the SEC's largest and most visible division has had dual leadership.  These appointments follow a period of reorientation and restructuring in the Division under its previous director, Rob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Khuzami</w:t>
      </w:r>
      <w:proofErr w:type="spellEnd"/>
      <w:r>
        <w:rPr>
          <w:rFonts w:ascii="Arial" w:hAnsi="Arial" w:cs="Arial"/>
          <w:sz w:val="20"/>
          <w:szCs w:val="20"/>
        </w:rPr>
        <w:t>, that</w:t>
      </w:r>
      <w:proofErr w:type="gramEnd"/>
      <w:r>
        <w:rPr>
          <w:rFonts w:ascii="Arial" w:hAnsi="Arial" w:cs="Arial"/>
          <w:sz w:val="20"/>
          <w:szCs w:val="20"/>
        </w:rPr>
        <w:t xml:space="preserve"> included the creation of five specialized units and multiple new initiatives.  Mr. </w:t>
      </w:r>
      <w:proofErr w:type="spellStart"/>
      <w:r>
        <w:rPr>
          <w:rFonts w:ascii="Arial" w:hAnsi="Arial" w:cs="Arial"/>
          <w:sz w:val="20"/>
          <w:szCs w:val="20"/>
        </w:rPr>
        <w:t>Canellos</w:t>
      </w:r>
      <w:proofErr w:type="spellEnd"/>
      <w:r>
        <w:rPr>
          <w:rFonts w:ascii="Arial" w:hAnsi="Arial" w:cs="Arial"/>
          <w:sz w:val="20"/>
          <w:szCs w:val="20"/>
        </w:rPr>
        <w:t xml:space="preserve"> previously served as SEC New York Regional Director and as SEC Enforcement Deputy Director.  This panel will provide an opportunity for panelists and </w:t>
      </w:r>
      <w:proofErr w:type="spellStart"/>
      <w:r>
        <w:rPr>
          <w:rFonts w:ascii="Arial" w:hAnsi="Arial" w:cs="Arial"/>
          <w:sz w:val="20"/>
          <w:szCs w:val="20"/>
        </w:rPr>
        <w:t>videolinked</w:t>
      </w:r>
      <w:proofErr w:type="spellEnd"/>
      <w:r>
        <w:rPr>
          <w:rFonts w:ascii="Arial" w:hAnsi="Arial" w:cs="Arial"/>
          <w:sz w:val="20"/>
          <w:szCs w:val="20"/>
        </w:rPr>
        <w:t xml:space="preserve"> audiences in Washington and New York to interact with the new Co-Director on issues of concern to the securities enforcement bar and clients, including possible changes in SEC enforcement focus areas and procedures.</w:t>
      </w:r>
    </w:p>
    <w:p w:rsidR="003F7F3B" w:rsidRDefault="000A4030">
      <w:r>
        <w:t> </w:t>
      </w:r>
    </w:p>
    <w:p w:rsidR="003F7F3B" w:rsidRDefault="000A4030">
      <w:r>
        <w:rPr>
          <w:rStyle w:val="Strong"/>
          <w:rFonts w:ascii="Arial" w:hAnsi="Arial" w:cs="Arial"/>
          <w:sz w:val="20"/>
          <w:szCs w:val="20"/>
        </w:rPr>
        <w:t>DATE:</w:t>
      </w:r>
      <w:r>
        <w:rPr>
          <w:rFonts w:ascii="Arial" w:hAnsi="Arial" w:cs="Arial"/>
          <w:sz w:val="20"/>
          <w:szCs w:val="20"/>
        </w:rPr>
        <w:t>  Monday, June 17, 2013</w:t>
      </w:r>
    </w:p>
    <w:p w:rsidR="003F7F3B" w:rsidRDefault="000A4030">
      <w:r>
        <w:t> </w:t>
      </w:r>
    </w:p>
    <w:p w:rsidR="003F7F3B" w:rsidRDefault="000A4030">
      <w:r>
        <w:rPr>
          <w:rStyle w:val="Strong"/>
          <w:rFonts w:ascii="Arial" w:hAnsi="Arial" w:cs="Arial"/>
          <w:sz w:val="20"/>
          <w:szCs w:val="20"/>
        </w:rPr>
        <w:t>TIME:</w:t>
      </w:r>
      <w:r>
        <w:rPr>
          <w:rFonts w:ascii="Arial" w:hAnsi="Arial" w:cs="Arial"/>
          <w:sz w:val="20"/>
          <w:szCs w:val="20"/>
        </w:rPr>
        <w:t>  Noon to 1:30 pm.</w:t>
      </w:r>
    </w:p>
    <w:p w:rsidR="003F7F3B" w:rsidRDefault="003F7F3B"/>
    <w:p w:rsidR="003F7F3B" w:rsidRDefault="000A4030">
      <w:pPr>
        <w:rPr>
          <w:i/>
          <w:iCs/>
        </w:rPr>
      </w:pPr>
      <w:r>
        <w:rPr>
          <w:rStyle w:val="Strong"/>
          <w:rFonts w:ascii="Arial" w:hAnsi="Arial" w:cs="Arial"/>
          <w:sz w:val="20"/>
          <w:szCs w:val="20"/>
        </w:rPr>
        <w:t>RSVP:</w:t>
      </w:r>
      <w:r>
        <w:rPr>
          <w:rFonts w:ascii="Arial" w:hAnsi="Arial" w:cs="Arial"/>
          <w:sz w:val="20"/>
          <w:szCs w:val="20"/>
        </w:rPr>
        <w:t xml:space="preserve">  </w:t>
      </w:r>
      <w:hyperlink r:id="rId10" w:history="1">
        <w:r>
          <w:rPr>
            <w:rStyle w:val="Hyperlink"/>
            <w:rFonts w:ascii="Arial" w:hAnsi="Arial" w:cs="Arial"/>
            <w:sz w:val="20"/>
            <w:szCs w:val="20"/>
          </w:rPr>
          <w:t>Denise.Mandley@fticonsulting.com</w:t>
        </w:r>
      </w:hyperlink>
      <w:r>
        <w:rPr>
          <w:rFonts w:ascii="Arial" w:hAnsi="Arial" w:cs="Arial"/>
          <w:sz w:val="20"/>
          <w:szCs w:val="20"/>
        </w:rPr>
        <w:t xml:space="preserve"> or 202.589.2339, specifying whether attending in Washington or New York </w:t>
      </w:r>
      <w:r>
        <w:rPr>
          <w:rFonts w:ascii="Arial" w:hAnsi="Arial" w:cs="Arial"/>
          <w:i/>
          <w:iCs/>
          <w:sz w:val="20"/>
          <w:szCs w:val="20"/>
        </w:rPr>
        <w:t>(pre-registration not required, but encouraged for planning purposes)</w:t>
      </w:r>
    </w:p>
    <w:p w:rsidR="003F7F3B" w:rsidRDefault="000A4030">
      <w:r>
        <w:t> </w:t>
      </w:r>
    </w:p>
    <w:p w:rsidR="003F7F3B" w:rsidRDefault="000A4030">
      <w:r>
        <w:rPr>
          <w:rStyle w:val="Strong"/>
          <w:rFonts w:ascii="Arial" w:hAnsi="Arial" w:cs="Arial"/>
          <w:sz w:val="20"/>
          <w:szCs w:val="20"/>
        </w:rPr>
        <w:t>WASHINGTON LOCATION:</w:t>
      </w:r>
      <w:r>
        <w:rPr>
          <w:rFonts w:ascii="Arial" w:hAnsi="Arial" w:cs="Arial"/>
          <w:sz w:val="20"/>
          <w:szCs w:val="20"/>
        </w:rPr>
        <w:t>  K&amp;L Gates LLP, 1601 K Street NW, Washington DC</w:t>
      </w:r>
      <w:proofErr w:type="gramStart"/>
      <w:r>
        <w:rPr>
          <w:rFonts w:ascii="Arial" w:hAnsi="Arial" w:cs="Arial"/>
          <w:sz w:val="20"/>
          <w:szCs w:val="20"/>
        </w:rPr>
        <w:t xml:space="preserve">  </w:t>
      </w:r>
      <w:r>
        <w:rPr>
          <w:rFonts w:ascii="Arial" w:hAnsi="Arial" w:cs="Arial"/>
          <w:i/>
          <w:iCs/>
          <w:sz w:val="20"/>
          <w:szCs w:val="20"/>
        </w:rPr>
        <w:t>(</w:t>
      </w:r>
      <w:proofErr w:type="gramEnd"/>
      <w:r>
        <w:rPr>
          <w:rFonts w:ascii="Arial" w:hAnsi="Arial" w:cs="Arial"/>
          <w:i/>
          <w:iCs/>
          <w:sz w:val="20"/>
          <w:szCs w:val="20"/>
        </w:rPr>
        <w:t>Lunch provided in Washington by FTI Consulting)</w:t>
      </w:r>
    </w:p>
    <w:p w:rsidR="003F7F3B" w:rsidRDefault="000A4030">
      <w:r>
        <w:t> </w:t>
      </w:r>
    </w:p>
    <w:p w:rsidR="003F7F3B" w:rsidRDefault="000A4030">
      <w:r>
        <w:rPr>
          <w:rStyle w:val="Strong"/>
          <w:rFonts w:ascii="Arial" w:hAnsi="Arial" w:cs="Arial"/>
          <w:sz w:val="20"/>
          <w:szCs w:val="20"/>
        </w:rPr>
        <w:t>NEW YORK LOCATION:</w:t>
      </w:r>
      <w:r>
        <w:rPr>
          <w:rFonts w:ascii="Arial" w:hAnsi="Arial" w:cs="Arial"/>
          <w:sz w:val="20"/>
          <w:szCs w:val="20"/>
        </w:rPr>
        <w:t xml:space="preserve">  Gibson Dunn &amp; </w:t>
      </w:r>
      <w:proofErr w:type="spellStart"/>
      <w:r>
        <w:rPr>
          <w:rFonts w:ascii="Arial" w:hAnsi="Arial" w:cs="Arial"/>
          <w:sz w:val="20"/>
          <w:szCs w:val="20"/>
        </w:rPr>
        <w:t>Crutcher</w:t>
      </w:r>
      <w:proofErr w:type="spellEnd"/>
      <w:r>
        <w:rPr>
          <w:rFonts w:ascii="Arial" w:hAnsi="Arial" w:cs="Arial"/>
          <w:sz w:val="20"/>
          <w:szCs w:val="20"/>
        </w:rPr>
        <w:t xml:space="preserve"> LLP, 200 Park Avenue (Met Life Building), New York NY</w:t>
      </w:r>
      <w:proofErr w:type="gramStart"/>
      <w:r>
        <w:rPr>
          <w:rFonts w:ascii="Arial" w:hAnsi="Arial" w:cs="Arial"/>
          <w:sz w:val="20"/>
          <w:szCs w:val="20"/>
        </w:rPr>
        <w:t xml:space="preserve">  </w:t>
      </w:r>
      <w:r>
        <w:rPr>
          <w:rFonts w:ascii="Arial" w:hAnsi="Arial" w:cs="Arial"/>
          <w:i/>
          <w:iCs/>
          <w:sz w:val="20"/>
          <w:szCs w:val="20"/>
        </w:rPr>
        <w:t>(</w:t>
      </w:r>
      <w:proofErr w:type="gramEnd"/>
      <w:r>
        <w:rPr>
          <w:rFonts w:ascii="Arial" w:hAnsi="Arial" w:cs="Arial"/>
          <w:i/>
          <w:iCs/>
          <w:sz w:val="20"/>
          <w:szCs w:val="20"/>
        </w:rPr>
        <w:t>Brown-bag)</w:t>
      </w:r>
    </w:p>
    <w:p w:rsidR="003F7F3B" w:rsidRDefault="000A4030">
      <w:r>
        <w:t> </w:t>
      </w:r>
    </w:p>
    <w:p w:rsidR="003F7F3B" w:rsidRDefault="000A4030">
      <w:r>
        <w:rPr>
          <w:rStyle w:val="Strong"/>
          <w:rFonts w:ascii="Arial" w:hAnsi="Arial" w:cs="Arial"/>
          <w:sz w:val="20"/>
          <w:szCs w:val="20"/>
        </w:rPr>
        <w:t>COST:</w:t>
      </w:r>
      <w:r>
        <w:rPr>
          <w:rFonts w:ascii="Arial" w:hAnsi="Arial" w:cs="Arial"/>
          <w:sz w:val="20"/>
          <w:szCs w:val="20"/>
        </w:rPr>
        <w:t xml:space="preserve">  $10, collected at the door </w:t>
      </w:r>
      <w:r>
        <w:rPr>
          <w:rFonts w:ascii="Arial" w:hAnsi="Arial" w:cs="Arial"/>
          <w:i/>
          <w:iCs/>
          <w:sz w:val="20"/>
          <w:szCs w:val="20"/>
        </w:rPr>
        <w:t>(free for law students)</w:t>
      </w:r>
    </w:p>
    <w:p w:rsidR="003F7F3B" w:rsidRDefault="003F7F3B"/>
    <w:p w:rsidR="003F7F3B" w:rsidRDefault="000A4030">
      <w:r>
        <w:rPr>
          <w:rStyle w:val="Strong"/>
          <w:rFonts w:ascii="Arial" w:hAnsi="Arial" w:cs="Arial"/>
          <w:sz w:val="20"/>
          <w:szCs w:val="20"/>
        </w:rPr>
        <w:t>SPEAKERS:</w:t>
      </w:r>
    </w:p>
    <w:p w:rsidR="003F7F3B" w:rsidRDefault="003F7F3B"/>
    <w:p w:rsidR="003F7F3B" w:rsidRDefault="000A403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George S. </w:t>
      </w:r>
      <w:proofErr w:type="spellStart"/>
      <w:r>
        <w:rPr>
          <w:rFonts w:ascii="Arial" w:hAnsi="Arial" w:cs="Arial"/>
          <w:sz w:val="20"/>
          <w:szCs w:val="20"/>
        </w:rPr>
        <w:t>Canellos</w:t>
      </w:r>
      <w:proofErr w:type="spellEnd"/>
      <w:r>
        <w:rPr>
          <w:rFonts w:ascii="Arial" w:hAnsi="Arial" w:cs="Arial"/>
          <w:sz w:val="20"/>
          <w:szCs w:val="20"/>
        </w:rPr>
        <w:t>, Co-Director of Enforcement, Securities and Exchange Commission</w:t>
      </w:r>
    </w:p>
    <w:p w:rsidR="003F7F3B" w:rsidRDefault="003F7F3B">
      <w:pPr>
        <w:rPr>
          <w:rFonts w:ascii="Arial" w:hAnsi="Arial" w:cs="Arial"/>
          <w:sz w:val="20"/>
          <w:szCs w:val="20"/>
        </w:rPr>
      </w:pPr>
    </w:p>
    <w:p w:rsidR="003F7F3B" w:rsidRDefault="000A403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Peter H. Bresnan, FBA Securities Law Section Executive Council; Partner, Simpson </w:t>
      </w:r>
      <w:proofErr w:type="spellStart"/>
      <w:r>
        <w:rPr>
          <w:rFonts w:ascii="Arial" w:hAnsi="Arial" w:cs="Arial"/>
          <w:sz w:val="20"/>
          <w:szCs w:val="20"/>
        </w:rPr>
        <w:t>Thacher</w:t>
      </w:r>
      <w:proofErr w:type="spellEnd"/>
      <w:r>
        <w:rPr>
          <w:rFonts w:ascii="Arial" w:hAnsi="Arial" w:cs="Arial"/>
          <w:sz w:val="20"/>
          <w:szCs w:val="20"/>
        </w:rPr>
        <w:t xml:space="preserve"> &amp; Bartlett LLP; former SEC Enforcement Deputy Director</w:t>
      </w:r>
    </w:p>
    <w:p w:rsidR="003F7F3B" w:rsidRDefault="003F7F3B">
      <w:pPr>
        <w:rPr>
          <w:rFonts w:ascii="Times New Roman" w:hAnsi="Times New Roman"/>
          <w:sz w:val="24"/>
          <w:szCs w:val="24"/>
        </w:rPr>
      </w:pPr>
    </w:p>
    <w:p w:rsidR="003F7F3B" w:rsidRDefault="000A403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Stephen J. </w:t>
      </w:r>
      <w:proofErr w:type="spellStart"/>
      <w:r>
        <w:rPr>
          <w:rFonts w:ascii="Arial" w:hAnsi="Arial" w:cs="Arial"/>
          <w:sz w:val="20"/>
          <w:szCs w:val="20"/>
        </w:rPr>
        <w:t>Crimmins</w:t>
      </w:r>
      <w:proofErr w:type="spellEnd"/>
      <w:r>
        <w:rPr>
          <w:rFonts w:ascii="Arial" w:hAnsi="Arial" w:cs="Arial"/>
          <w:sz w:val="20"/>
          <w:szCs w:val="20"/>
        </w:rPr>
        <w:t>, FBA Securities Law Section Chairman; Partner, K&amp;L Gates LLP; former SEC Enforcement Deputy Chief Litigation Counsel</w:t>
      </w:r>
    </w:p>
    <w:p w:rsidR="003F7F3B" w:rsidRDefault="003F7F3B">
      <w:pPr>
        <w:rPr>
          <w:rFonts w:ascii="Times New Roman" w:hAnsi="Times New Roman"/>
          <w:sz w:val="24"/>
          <w:szCs w:val="24"/>
        </w:rPr>
      </w:pPr>
    </w:p>
    <w:p w:rsidR="003F7F3B" w:rsidRDefault="000A403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Jason S. </w:t>
      </w:r>
      <w:proofErr w:type="spellStart"/>
      <w:r>
        <w:rPr>
          <w:rFonts w:ascii="Arial" w:hAnsi="Arial" w:cs="Arial"/>
          <w:sz w:val="20"/>
          <w:szCs w:val="20"/>
        </w:rPr>
        <w:t>Flemmons</w:t>
      </w:r>
      <w:proofErr w:type="spellEnd"/>
      <w:r>
        <w:rPr>
          <w:rFonts w:ascii="Arial" w:hAnsi="Arial" w:cs="Arial"/>
          <w:sz w:val="20"/>
          <w:szCs w:val="20"/>
        </w:rPr>
        <w:t>, Senior Managing Director, FTI Consulting; former SEC Enforcement Deputy Chief Accountant</w:t>
      </w:r>
    </w:p>
    <w:p w:rsidR="003F7F3B" w:rsidRDefault="003F7F3B">
      <w:pPr>
        <w:rPr>
          <w:rFonts w:ascii="Times New Roman" w:hAnsi="Times New Roman"/>
          <w:sz w:val="24"/>
          <w:szCs w:val="24"/>
        </w:rPr>
      </w:pPr>
    </w:p>
    <w:p w:rsidR="003F7F3B" w:rsidRDefault="000A403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Walter G. </w:t>
      </w:r>
      <w:proofErr w:type="spellStart"/>
      <w:r>
        <w:rPr>
          <w:rFonts w:ascii="Arial" w:hAnsi="Arial" w:cs="Arial"/>
          <w:sz w:val="20"/>
          <w:szCs w:val="20"/>
        </w:rPr>
        <w:t>Ricciardi</w:t>
      </w:r>
      <w:proofErr w:type="spellEnd"/>
      <w:r>
        <w:rPr>
          <w:rFonts w:ascii="Arial" w:hAnsi="Arial" w:cs="Arial"/>
          <w:sz w:val="20"/>
          <w:szCs w:val="20"/>
        </w:rPr>
        <w:t xml:space="preserve">, FBA Securities Law Section Executive Council; Partner, Paul Weiss </w:t>
      </w:r>
      <w:proofErr w:type="spellStart"/>
      <w:r>
        <w:rPr>
          <w:rFonts w:ascii="Arial" w:hAnsi="Arial" w:cs="Arial"/>
          <w:sz w:val="20"/>
          <w:szCs w:val="20"/>
        </w:rPr>
        <w:t>Rifkind</w:t>
      </w:r>
      <w:proofErr w:type="spellEnd"/>
      <w:r>
        <w:rPr>
          <w:rFonts w:ascii="Arial" w:hAnsi="Arial" w:cs="Arial"/>
          <w:sz w:val="20"/>
          <w:szCs w:val="20"/>
        </w:rPr>
        <w:t xml:space="preserve"> Wharton &amp; Garrison LLP; former SEC Enforcement Deputy Director</w:t>
      </w:r>
    </w:p>
    <w:p w:rsidR="003F7F3B" w:rsidRDefault="003F7F3B">
      <w:pPr>
        <w:rPr>
          <w:rFonts w:ascii="Times New Roman" w:hAnsi="Times New Roman"/>
          <w:sz w:val="24"/>
          <w:szCs w:val="24"/>
        </w:rPr>
      </w:pPr>
    </w:p>
    <w:p w:rsidR="003F7F3B" w:rsidRDefault="000A403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Mark K. </w:t>
      </w:r>
      <w:proofErr w:type="spellStart"/>
      <w:r>
        <w:rPr>
          <w:rFonts w:ascii="Arial" w:hAnsi="Arial" w:cs="Arial"/>
          <w:sz w:val="20"/>
          <w:szCs w:val="20"/>
        </w:rPr>
        <w:t>Schonfeld</w:t>
      </w:r>
      <w:proofErr w:type="spellEnd"/>
      <w:r>
        <w:rPr>
          <w:rFonts w:ascii="Arial" w:hAnsi="Arial" w:cs="Arial"/>
          <w:sz w:val="20"/>
          <w:szCs w:val="20"/>
        </w:rPr>
        <w:t xml:space="preserve">, Partner, Gibson Dunn &amp; </w:t>
      </w:r>
      <w:proofErr w:type="spellStart"/>
      <w:r>
        <w:rPr>
          <w:rFonts w:ascii="Arial" w:hAnsi="Arial" w:cs="Arial"/>
          <w:sz w:val="20"/>
          <w:szCs w:val="20"/>
        </w:rPr>
        <w:t>Crutcher</w:t>
      </w:r>
      <w:proofErr w:type="spellEnd"/>
      <w:r>
        <w:rPr>
          <w:rFonts w:ascii="Arial" w:hAnsi="Arial" w:cs="Arial"/>
          <w:sz w:val="20"/>
          <w:szCs w:val="20"/>
        </w:rPr>
        <w:t xml:space="preserve"> LLP; former SEC New York Regional Director</w:t>
      </w:r>
    </w:p>
    <w:p w:rsidR="003F7F3B" w:rsidRDefault="003F7F3B">
      <w:pPr>
        <w:rPr>
          <w:rFonts w:ascii="Arial" w:hAnsi="Arial" w:cs="Arial"/>
          <w:sz w:val="20"/>
          <w:szCs w:val="20"/>
        </w:rPr>
      </w:pPr>
    </w:p>
    <w:p w:rsidR="003F7F3B" w:rsidRDefault="000A4030">
      <w:pPr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[</w:t>
      </w:r>
      <w:r>
        <w:rPr>
          <w:rFonts w:ascii="Arial" w:hAnsi="Arial" w:cs="Arial"/>
          <w:b/>
          <w:bCs/>
          <w:sz w:val="20"/>
          <w:szCs w:val="20"/>
        </w:rPr>
        <w:t xml:space="preserve">Panelists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Canellos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, Bresnan,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Crimmins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and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Flemmons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will present live from the Washington location.  Panelists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Ricciardi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and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Schonfeld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will present live from the New York location.</w:t>
      </w:r>
      <w:r>
        <w:rPr>
          <w:rFonts w:ascii="Arial" w:hAnsi="Arial" w:cs="Arial"/>
          <w:sz w:val="20"/>
          <w:szCs w:val="20"/>
        </w:rPr>
        <w:t>]</w:t>
      </w:r>
    </w:p>
    <w:p w:rsidR="003F7F3B" w:rsidRDefault="003F7F3B">
      <w:pPr>
        <w:rPr>
          <w:rFonts w:ascii="Arial" w:hAnsi="Arial" w:cs="Arial"/>
          <w:sz w:val="20"/>
          <w:szCs w:val="20"/>
        </w:rPr>
      </w:pPr>
    </w:p>
    <w:p w:rsidR="003F7F3B" w:rsidRDefault="003F7F3B">
      <w:pPr>
        <w:rPr>
          <w:rFonts w:ascii="Arial" w:hAnsi="Arial" w:cs="Arial"/>
        </w:rPr>
      </w:pPr>
    </w:p>
    <w:sectPr w:rsidR="003F7F3B">
      <w:headerReference w:type="even" r:id="rId11"/>
      <w:headerReference w:type="default" r:id="rId12"/>
      <w:headerReference w:type="first" r:id="rId13"/>
      <w:pgSz w:w="12240" w:h="15840"/>
      <w:pgMar w:top="720" w:right="720" w:bottom="720" w:left="720" w:header="720" w:footer="720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030" w:rsidRDefault="000A4030">
      <w:r>
        <w:separator/>
      </w:r>
    </w:p>
  </w:endnote>
  <w:endnote w:type="continuationSeparator" w:id="0">
    <w:p w:rsidR="000A4030" w:rsidRDefault="000A4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030" w:rsidRDefault="000A4030">
      <w:r>
        <w:separator/>
      </w:r>
    </w:p>
  </w:footnote>
  <w:footnote w:type="continuationSeparator" w:id="0">
    <w:p w:rsidR="000A4030" w:rsidRDefault="000A40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F3B" w:rsidRDefault="009260F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56374" o:spid="_x0000_s2050" type="#_x0000_t75" style="position:absolute;margin-left:0;margin-top:0;width:539.85pt;height:505.95pt;z-index:-251657216;mso-position-horizontal:center;mso-position-horizontal-relative:margin;mso-position-vertical:center;mso-position-vertical-relative:margin" o:allowincell="f">
          <v:imagedata r:id="rId1" o:title="FBAseal_600_blu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F3B" w:rsidRDefault="009260F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56375" o:spid="_x0000_s2051" type="#_x0000_t75" style="position:absolute;margin-left:0;margin-top:0;width:539.85pt;height:505.95pt;z-index:-251656192;mso-position-horizontal:center;mso-position-horizontal-relative:margin;mso-position-vertical:center;mso-position-vertical-relative:margin" o:allowincell="f">
          <v:imagedata r:id="rId1" o:title="FBAseal_600_blue" gain="71235f" blacklevel="13107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F3B" w:rsidRDefault="009260F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56373" o:spid="_x0000_s2049" type="#_x0000_t75" style="position:absolute;margin-left:0;margin-top:0;width:539.85pt;height:505.95pt;z-index:-251658240;mso-position-horizontal:center;mso-position-horizontal-relative:margin;mso-position-vertical:center;mso-position-vertical-relative:margin" o:allowincell="f">
          <v:imagedata r:id="rId1" o:title="FBAseal_600_blu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F3B"/>
    <w:rsid w:val="000A4030"/>
    <w:rsid w:val="003F7F3B"/>
    <w:rsid w:val="009260FC"/>
    <w:rsid w:val="00EF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hAnsi="Calibri" w:cs="Times New Roman"/>
    </w:rPr>
  </w:style>
  <w:style w:type="character" w:styleId="Strong">
    <w:name w:val="Strong"/>
    <w:basedOn w:val="DefaultParagraphFont"/>
    <w:uiPriority w:val="22"/>
    <w:qFormat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hAnsi="Calibri" w:cs="Times New Roman"/>
    </w:rPr>
  </w:style>
  <w:style w:type="character" w:styleId="Strong">
    <w:name w:val="Strong"/>
    <w:basedOn w:val="DefaultParagraphFont"/>
    <w:uiPriority w:val="22"/>
    <w:qFormat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9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enise.Mandley@fticonsulting.com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jpg@01CE6045.B91AE300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29AD6-5ABE-4F86-9AF3-454C9E4FF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723</Words>
  <Characters>4123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Zaretskie</dc:creator>
  <cp:lastModifiedBy>LaToya Wilson</cp:lastModifiedBy>
  <cp:revision>2</cp:revision>
  <cp:lastPrinted>2013-12-13T16:39:00Z</cp:lastPrinted>
  <dcterms:created xsi:type="dcterms:W3CDTF">2014-03-18T12:17:00Z</dcterms:created>
  <dcterms:modified xsi:type="dcterms:W3CDTF">2014-03-18T12:17:00Z</dcterms:modified>
</cp:coreProperties>
</file>